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7AB2" w14:textId="77777777" w:rsidR="0091137B" w:rsidRDefault="0091137B" w:rsidP="0091137B">
      <w:pPr>
        <w:pStyle w:val="Nadpis2"/>
      </w:pPr>
      <w:bookmarkStart w:id="0" w:name="_Toc102656259"/>
      <w:r w:rsidRPr="00A968B7">
        <w:t xml:space="preserve">8.4 </w:t>
      </w:r>
      <w:r>
        <w:t xml:space="preserve">Příloha č. 4: </w:t>
      </w:r>
      <w:r w:rsidRPr="00495929">
        <w:t>Čestné prohlášení dodavatele o neexistenci střetu zájmů</w:t>
      </w:r>
      <w:r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71"/>
      </w:tblGrid>
      <w:tr w:rsidR="0091137B" w:rsidRPr="00495929" w14:paraId="6C978276" w14:textId="77777777" w:rsidTr="0091137B">
        <w:tc>
          <w:tcPr>
            <w:tcW w:w="9060" w:type="dxa"/>
            <w:gridSpan w:val="2"/>
            <w:tcBorders>
              <w:bottom w:val="single" w:sz="4" w:space="0" w:color="auto"/>
            </w:tcBorders>
            <w:vAlign w:val="center"/>
          </w:tcPr>
          <w:p w14:paraId="49AC286C" w14:textId="77777777" w:rsidR="0091137B" w:rsidRPr="00495929" w:rsidRDefault="0091137B" w:rsidP="001F1080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91137B" w:rsidRPr="00495929" w14:paraId="1B7AD331" w14:textId="77777777" w:rsidTr="0091137B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0B74D0CC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91137B" w:rsidRPr="00495929" w14:paraId="1912C126" w14:textId="77777777" w:rsidTr="0091137B">
        <w:tc>
          <w:tcPr>
            <w:tcW w:w="9060" w:type="dxa"/>
            <w:gridSpan w:val="2"/>
            <w:vAlign w:val="center"/>
          </w:tcPr>
          <w:p w14:paraId="5204B14D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91137B" w:rsidRPr="00495929" w14:paraId="35311C5A" w14:textId="77777777" w:rsidTr="0091137B"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7F88910A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91137B" w:rsidRPr="00495929" w14:paraId="603DC90F" w14:textId="77777777" w:rsidTr="0091137B">
        <w:trPr>
          <w:trHeight w:val="340"/>
        </w:trPr>
        <w:tc>
          <w:tcPr>
            <w:tcW w:w="2689" w:type="dxa"/>
            <w:vAlign w:val="center"/>
          </w:tcPr>
          <w:p w14:paraId="38197BF1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44B49ED2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91137B" w:rsidRPr="00495929" w14:paraId="27CD6A12" w14:textId="77777777" w:rsidTr="0091137B">
        <w:trPr>
          <w:trHeight w:val="340"/>
        </w:trPr>
        <w:tc>
          <w:tcPr>
            <w:tcW w:w="2689" w:type="dxa"/>
            <w:vAlign w:val="center"/>
          </w:tcPr>
          <w:p w14:paraId="3D573E6F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5702F713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91137B" w:rsidRPr="00495929" w14:paraId="3B6CB869" w14:textId="77777777" w:rsidTr="0091137B">
        <w:trPr>
          <w:trHeight w:val="340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0E6B0A09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91137B" w:rsidRPr="00495929" w14:paraId="0CB3477E" w14:textId="77777777" w:rsidTr="0091137B">
        <w:trPr>
          <w:trHeight w:val="340"/>
        </w:trPr>
        <w:tc>
          <w:tcPr>
            <w:tcW w:w="2689" w:type="dxa"/>
            <w:vAlign w:val="center"/>
          </w:tcPr>
          <w:p w14:paraId="54EB7660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1" w:type="dxa"/>
            <w:vAlign w:val="center"/>
          </w:tcPr>
          <w:p w14:paraId="68291FBB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91137B" w:rsidRPr="00495929" w14:paraId="4A1B1CD3" w14:textId="77777777" w:rsidTr="0091137B">
        <w:trPr>
          <w:trHeight w:val="340"/>
        </w:trPr>
        <w:tc>
          <w:tcPr>
            <w:tcW w:w="2689" w:type="dxa"/>
            <w:vAlign w:val="center"/>
          </w:tcPr>
          <w:p w14:paraId="54CA583B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1" w:type="dxa"/>
            <w:vAlign w:val="center"/>
          </w:tcPr>
          <w:p w14:paraId="71A7B6C2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91137B" w:rsidRPr="00495929" w14:paraId="40B4ED0C" w14:textId="77777777" w:rsidTr="0091137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0D2D974F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1" w:type="dxa"/>
            <w:vAlign w:val="center"/>
          </w:tcPr>
          <w:p w14:paraId="29125E35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91137B" w:rsidRPr="00495929" w14:paraId="1ABFC632" w14:textId="77777777" w:rsidTr="0091137B">
        <w:trPr>
          <w:trHeight w:val="282"/>
        </w:trPr>
        <w:tc>
          <w:tcPr>
            <w:tcW w:w="2689" w:type="dxa"/>
            <w:vMerge/>
            <w:vAlign w:val="center"/>
          </w:tcPr>
          <w:p w14:paraId="77F6BE5F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1" w:type="dxa"/>
            <w:vAlign w:val="center"/>
          </w:tcPr>
          <w:p w14:paraId="4FF23A9F" w14:textId="77777777" w:rsidR="0091137B" w:rsidRPr="00495929" w:rsidRDefault="0091137B" w:rsidP="001F1080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91137B" w:rsidRPr="00495929" w14:paraId="44F1152B" w14:textId="77777777" w:rsidTr="0091137B">
        <w:trPr>
          <w:trHeight w:val="282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4A233D3C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91137B" w:rsidRPr="00495929" w14:paraId="6A754629" w14:textId="77777777" w:rsidTr="0091137B">
        <w:trPr>
          <w:trHeight w:val="964"/>
        </w:trPr>
        <w:tc>
          <w:tcPr>
            <w:tcW w:w="9060" w:type="dxa"/>
            <w:gridSpan w:val="2"/>
            <w:vAlign w:val="center"/>
          </w:tcPr>
          <w:p w14:paraId="6FC5DB73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1480B9E6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29686E6B" w14:textId="77777777" w:rsidR="0091137B" w:rsidRPr="00495929" w:rsidRDefault="0091137B" w:rsidP="0091137B">
            <w:pPr>
              <w:numPr>
                <w:ilvl w:val="1"/>
                <w:numId w:val="4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2660CBC0" w14:textId="77777777" w:rsidR="0091137B" w:rsidRPr="00F655DD" w:rsidRDefault="0091137B" w:rsidP="001F1080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73A4EA72" w14:textId="77777777" w:rsidR="0091137B" w:rsidRPr="00495929" w:rsidRDefault="0091137B" w:rsidP="0091137B">
      <w:pPr>
        <w:rPr>
          <w:rFonts w:asciiTheme="minorHAnsi" w:hAnsiTheme="minorHAnsi" w:cstheme="minorHAnsi"/>
        </w:rPr>
      </w:pPr>
    </w:p>
    <w:p w14:paraId="18C306AF" w14:textId="77777777" w:rsidR="0091137B" w:rsidRDefault="0091137B" w:rsidP="0091137B">
      <w:pPr>
        <w:rPr>
          <w:rFonts w:asciiTheme="minorHAnsi" w:hAnsiTheme="minorHAnsi" w:cstheme="minorHAnsi"/>
        </w:rPr>
      </w:pPr>
    </w:p>
    <w:p w14:paraId="33560298" w14:textId="77777777" w:rsidR="0091137B" w:rsidRDefault="0091137B" w:rsidP="0091137B">
      <w:pPr>
        <w:rPr>
          <w:rFonts w:asciiTheme="minorHAnsi" w:hAnsiTheme="minorHAnsi" w:cstheme="minorHAnsi"/>
        </w:rPr>
      </w:pPr>
    </w:p>
    <w:p w14:paraId="0B3053E9" w14:textId="77777777" w:rsidR="0091137B" w:rsidRPr="00495929" w:rsidRDefault="0091137B" w:rsidP="0091137B">
      <w:pPr>
        <w:rPr>
          <w:rFonts w:asciiTheme="minorHAnsi" w:hAnsiTheme="minorHAnsi" w:cstheme="minorHAnsi"/>
        </w:rPr>
      </w:pPr>
    </w:p>
    <w:p w14:paraId="0CE43760" w14:textId="77777777" w:rsidR="0091137B" w:rsidRPr="00495929" w:rsidRDefault="0091137B" w:rsidP="0091137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95781" wp14:editId="570EA0CA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648C2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091BDC1" w14:textId="382D5EE4" w:rsidR="0091137B" w:rsidRPr="0091137B" w:rsidRDefault="0091137B" w:rsidP="0091137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1309" w14:textId="77777777" w:rsidR="00310ABA" w:rsidRDefault="00310ABA" w:rsidP="00CE3205">
      <w:r>
        <w:separator/>
      </w:r>
    </w:p>
  </w:endnote>
  <w:endnote w:type="continuationSeparator" w:id="0">
    <w:p w14:paraId="29D6E9E4" w14:textId="77777777" w:rsidR="00310ABA" w:rsidRDefault="00310ABA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FC38" w14:textId="77777777" w:rsidR="00310ABA" w:rsidRDefault="00310ABA" w:rsidP="00CE3205">
      <w:r>
        <w:separator/>
      </w:r>
    </w:p>
  </w:footnote>
  <w:footnote w:type="continuationSeparator" w:id="0">
    <w:p w14:paraId="27AD3561" w14:textId="77777777" w:rsidR="00310ABA" w:rsidRDefault="00310ABA" w:rsidP="00CE3205">
      <w:r>
        <w:continuationSeparator/>
      </w:r>
    </w:p>
  </w:footnote>
  <w:footnote w:id="1">
    <w:p w14:paraId="673B56AC" w14:textId="77777777" w:rsidR="0091137B" w:rsidRPr="00495929" w:rsidRDefault="0091137B" w:rsidP="0091137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1"/>
  </w:num>
  <w:num w:numId="2" w16cid:durableId="1193573398">
    <w:abstractNumId w:val="2"/>
  </w:num>
  <w:num w:numId="3" w16cid:durableId="183665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D50F8"/>
    <w:rsid w:val="00205E8E"/>
    <w:rsid w:val="002C0727"/>
    <w:rsid w:val="002D4F95"/>
    <w:rsid w:val="00310ABA"/>
    <w:rsid w:val="003359FF"/>
    <w:rsid w:val="00351459"/>
    <w:rsid w:val="00361D81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F1B93"/>
    <w:rsid w:val="00725460"/>
    <w:rsid w:val="007344A0"/>
    <w:rsid w:val="007A74C8"/>
    <w:rsid w:val="007B2DFE"/>
    <w:rsid w:val="007C4763"/>
    <w:rsid w:val="007F10ED"/>
    <w:rsid w:val="007F4F78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2026-03-18T14:17:00Z</dcterms:created>
  <dcterms:modified xsi:type="dcterms:W3CDTF">2026-03-18T14:17:00Z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