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B364" w14:textId="2ABF3FEA" w:rsidR="00F305B8" w:rsidRPr="00363B9C" w:rsidRDefault="00F305B8" w:rsidP="00BD4751">
      <w:pPr>
        <w:pStyle w:val="Nadpis1"/>
        <w:jc w:val="center"/>
        <w:rPr>
          <w:lang w:eastAsia="cs-CZ"/>
        </w:rPr>
      </w:pPr>
      <w:r>
        <w:rPr>
          <w:lang w:eastAsia="cs-CZ"/>
        </w:rPr>
        <w:t>Základní parametry</w:t>
      </w:r>
      <w:r w:rsidRPr="00363B9C">
        <w:rPr>
          <w:lang w:eastAsia="cs-CZ"/>
        </w:rPr>
        <w:t xml:space="preserve"> projektu</w:t>
      </w:r>
    </w:p>
    <w:p w14:paraId="2C7D39CE" w14:textId="6F0294AB" w:rsidR="00F305B8" w:rsidRDefault="00F305B8" w:rsidP="00BD4751">
      <w:pPr>
        <w:jc w:val="center"/>
        <w:rPr>
          <w:rFonts w:cs="Calibri"/>
        </w:rPr>
      </w:pPr>
      <w:r w:rsidRPr="00770443">
        <w:rPr>
          <w:rFonts w:cs="Calibri"/>
        </w:rPr>
        <w:t xml:space="preserve">Registrační číslo: </w:t>
      </w:r>
      <w:r w:rsidRPr="00770443">
        <w:rPr>
          <w:rFonts w:cs="Calibri"/>
          <w:highlight w:val="lightGray"/>
        </w:rPr>
        <w:t>…</w:t>
      </w:r>
    </w:p>
    <w:p w14:paraId="04E01C59" w14:textId="77777777" w:rsidR="0029255F" w:rsidRPr="004A754C" w:rsidRDefault="0029255F" w:rsidP="0029255F">
      <w:pPr>
        <w:autoSpaceDE w:val="0"/>
        <w:autoSpaceDN w:val="0"/>
        <w:adjustRightInd w:val="0"/>
        <w:rPr>
          <w:rFonts w:eastAsia="Times New Roman"/>
          <w:i/>
          <w:iCs/>
          <w:color w:val="000000" w:themeColor="text1"/>
        </w:rPr>
      </w:pPr>
      <w:r w:rsidRPr="004A754C">
        <w:rPr>
          <w:rFonts w:eastAsia="Times New Roman"/>
          <w:i/>
          <w:iCs/>
          <w:color w:val="000000" w:themeColor="text1"/>
        </w:rPr>
        <w:t>Upozornění: Závazky formulované žadatelem na místa určená k převodu do Základních parametrů projektu mohou být hodnoticí komisí upraveny formou výhrady.</w:t>
      </w:r>
    </w:p>
    <w:p w14:paraId="071FD96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Popis projektu</w:t>
      </w:r>
    </w:p>
    <w:p w14:paraId="6BE3E622" w14:textId="77777777" w:rsidR="00F305B8" w:rsidRPr="00770443" w:rsidRDefault="00F305B8" w:rsidP="00F305B8">
      <w:pPr>
        <w:autoSpaceDE w:val="0"/>
        <w:autoSpaceDN w:val="0"/>
        <w:adjustRightInd w:val="0"/>
        <w:spacing w:after="0"/>
        <w:jc w:val="left"/>
        <w:rPr>
          <w:rFonts w:cs="Calibri"/>
          <w:b/>
        </w:rPr>
      </w:pPr>
      <w:r w:rsidRPr="00770443">
        <w:rPr>
          <w:rFonts w:cs="Calibri"/>
          <w:b/>
        </w:rPr>
        <w:t>Cíle projektu</w:t>
      </w:r>
      <w:r w:rsidRPr="00770443">
        <w:rPr>
          <w:rStyle w:val="Znakapoznpodarou"/>
          <w:rFonts w:cs="Calibri"/>
          <w:b/>
        </w:rPr>
        <w:footnoteReference w:id="2"/>
      </w:r>
    </w:p>
    <w:p w14:paraId="365BBFF0" w14:textId="262F12DF" w:rsidR="0096659F" w:rsidRDefault="00021A22" w:rsidP="009262B7">
      <w:pPr>
        <w:autoSpaceDE w:val="0"/>
        <w:autoSpaceDN w:val="0"/>
        <w:adjustRightInd w:val="0"/>
        <w:rPr>
          <w:i/>
          <w:iCs/>
        </w:rPr>
      </w:pPr>
      <w:r>
        <w:rPr>
          <w:i/>
          <w:iCs/>
        </w:rPr>
        <w:t>Na toto místo</w:t>
      </w:r>
      <w:r w:rsidR="00BA0F97">
        <w:rPr>
          <w:i/>
          <w:iCs/>
        </w:rPr>
        <w:t xml:space="preserve"> </w:t>
      </w:r>
      <w:r w:rsidR="00497F01">
        <w:rPr>
          <w:i/>
          <w:iCs/>
        </w:rPr>
        <w:t>jsou</w:t>
      </w:r>
      <w:r w:rsidR="00BA0F97" w:rsidRPr="005A1257">
        <w:rPr>
          <w:i/>
          <w:iCs/>
        </w:rPr>
        <w:t xml:space="preserve"> převedeny údaje z</w:t>
      </w:r>
      <w:r>
        <w:rPr>
          <w:i/>
          <w:iCs/>
        </w:rPr>
        <w:t xml:space="preserve"> </w:t>
      </w:r>
      <w:r w:rsidR="00BA0F97" w:rsidRPr="00C15911">
        <w:rPr>
          <w:i/>
          <w:iCs/>
        </w:rPr>
        <w:t xml:space="preserve">kapitoly </w:t>
      </w:r>
      <w:r w:rsidR="00D555DC" w:rsidRPr="004626AD">
        <w:rPr>
          <w:i/>
          <w:iCs/>
        </w:rPr>
        <w:t>5</w:t>
      </w:r>
      <w:r w:rsidR="00BA0F97" w:rsidRPr="00C15911">
        <w:rPr>
          <w:i/>
          <w:iCs/>
        </w:rPr>
        <w:t>.</w:t>
      </w:r>
      <w:r w:rsidR="00BA0F97">
        <w:rPr>
          <w:i/>
          <w:iCs/>
        </w:rPr>
        <w:t xml:space="preserve"> Cíle projektu Studie pr</w:t>
      </w:r>
      <w:r w:rsidR="00E472DE">
        <w:rPr>
          <w:i/>
          <w:iCs/>
        </w:rPr>
        <w:t>o</w:t>
      </w:r>
      <w:r w:rsidR="00BA0F97">
        <w:rPr>
          <w:i/>
          <w:iCs/>
        </w:rPr>
        <w:t>veditelnosti.</w:t>
      </w:r>
      <w:bookmarkStart w:id="0" w:name="_Hlk115073875"/>
    </w:p>
    <w:p w14:paraId="7956216F" w14:textId="4AA5E6C2" w:rsidR="00E971D3" w:rsidRPr="00F451AD" w:rsidRDefault="00E971D3" w:rsidP="00021A22">
      <w:pPr>
        <w:autoSpaceDE w:val="0"/>
        <w:autoSpaceDN w:val="0"/>
        <w:adjustRightInd w:val="0"/>
        <w:spacing w:before="240"/>
        <w:rPr>
          <w:rFonts w:cs="Calibri"/>
        </w:rPr>
      </w:pPr>
      <w:r>
        <w:rPr>
          <w:rFonts w:cs="Calibri"/>
        </w:rPr>
        <w:t>Cílem projektu č. 1 je</w:t>
      </w:r>
      <w:r w:rsidR="00021A22">
        <w:rPr>
          <w:rFonts w:cs="Calibri"/>
        </w:rPr>
        <w:t xml:space="preserve"> </w:t>
      </w:r>
      <w:r w:rsidR="008E5C24" w:rsidRPr="00E472DE">
        <w:rPr>
          <w:rFonts w:cs="Calibri"/>
        </w:rPr>
        <w:t xml:space="preserve">zajištění pilotního ověření implementace </w:t>
      </w:r>
      <w:r w:rsidR="00586A6D" w:rsidRPr="00E472DE">
        <w:rPr>
          <w:rFonts w:cs="Calibri"/>
        </w:rPr>
        <w:t>s</w:t>
      </w:r>
      <w:r w:rsidR="008E5C24" w:rsidRPr="00E472DE">
        <w:rPr>
          <w:rFonts w:cs="Calibri"/>
        </w:rPr>
        <w:t>chématu návratových grantů</w:t>
      </w:r>
      <w:r w:rsidR="00CA23BB" w:rsidRPr="00E472DE">
        <w:rPr>
          <w:rFonts w:cs="Calibri"/>
        </w:rPr>
        <w:t xml:space="preserve"> </w:t>
      </w:r>
      <w:r w:rsidR="007B5A2F" w:rsidRPr="00E472DE">
        <w:rPr>
          <w:rFonts w:cs="Calibri"/>
        </w:rPr>
        <w:t>v praxi</w:t>
      </w:r>
      <w:r w:rsidR="00021A22" w:rsidRPr="00F451AD">
        <w:rPr>
          <w:rFonts w:cs="Calibri"/>
        </w:rPr>
        <w:t xml:space="preserve"> </w:t>
      </w:r>
      <w:r w:rsidRPr="00F451AD">
        <w:rPr>
          <w:rFonts w:cs="Calibri"/>
        </w:rPr>
        <w:t xml:space="preserve">prostřednictvím </w:t>
      </w:r>
      <w:r w:rsidRPr="009262B7">
        <w:rPr>
          <w:rFonts w:cs="Calibri"/>
        </w:rPr>
        <w:t>KA 2</w:t>
      </w:r>
      <w:r w:rsidR="002A693D">
        <w:rPr>
          <w:rFonts w:cs="Calibri"/>
        </w:rPr>
        <w:t xml:space="preserve"> </w:t>
      </w:r>
      <w:r w:rsidR="002A693D" w:rsidRPr="002A693D">
        <w:rPr>
          <w:rFonts w:cs="Calibri"/>
        </w:rPr>
        <w:t>Pilotní ověření implementace schématu návratových grantů</w:t>
      </w:r>
      <w:r w:rsidR="00F451AD" w:rsidRPr="002A693D">
        <w:rPr>
          <w:rFonts w:cs="Calibri"/>
        </w:rPr>
        <w:t>;</w:t>
      </w:r>
    </w:p>
    <w:p w14:paraId="784D945C" w14:textId="6E1C6993" w:rsidR="00E971D3" w:rsidRDefault="00E971D3" w:rsidP="00E971D3">
      <w:pPr>
        <w:autoSpaceDE w:val="0"/>
        <w:autoSpaceDN w:val="0"/>
        <w:adjustRightInd w:val="0"/>
        <w:rPr>
          <w:rFonts w:cs="Calibri"/>
        </w:rPr>
      </w:pPr>
      <w:r w:rsidRPr="00F451AD">
        <w:rPr>
          <w:rFonts w:cs="Calibri"/>
        </w:rPr>
        <w:t xml:space="preserve">Cílem projektu č. 2 je </w:t>
      </w:r>
      <w:r w:rsidR="00CA23BB" w:rsidRPr="00E472DE">
        <w:rPr>
          <w:rFonts w:cs="Calibri"/>
        </w:rPr>
        <w:t xml:space="preserve">implementace </w:t>
      </w:r>
      <w:r w:rsidR="008E5C24" w:rsidRPr="00E472DE">
        <w:rPr>
          <w:rFonts w:cs="Calibri"/>
        </w:rPr>
        <w:t xml:space="preserve">dílčích </w:t>
      </w:r>
      <w:r w:rsidR="00CA23BB" w:rsidRPr="00E472DE">
        <w:rPr>
          <w:rFonts w:cs="Calibri"/>
        </w:rPr>
        <w:t>návratových grantů pro výzkumníky vracející se po kariérní přestávce</w:t>
      </w:r>
      <w:r w:rsidR="00021A22" w:rsidRPr="00F451AD">
        <w:rPr>
          <w:rFonts w:cs="Calibri"/>
        </w:rPr>
        <w:t xml:space="preserve"> </w:t>
      </w:r>
      <w:r w:rsidRPr="00F451AD">
        <w:rPr>
          <w:rFonts w:cs="Calibri"/>
        </w:rPr>
        <w:t xml:space="preserve">prostřednictvím </w:t>
      </w:r>
      <w:r w:rsidRPr="009262B7">
        <w:rPr>
          <w:rFonts w:cs="Calibri"/>
        </w:rPr>
        <w:t>KA 3</w:t>
      </w:r>
      <w:r w:rsidR="002A693D">
        <w:rPr>
          <w:rFonts w:cs="Calibri"/>
        </w:rPr>
        <w:t xml:space="preserve"> </w:t>
      </w:r>
      <w:r w:rsidR="002A693D" w:rsidRPr="002A693D">
        <w:rPr>
          <w:rFonts w:cs="Calibri"/>
        </w:rPr>
        <w:t>Implementace návratových grantů</w:t>
      </w:r>
      <w:r w:rsidR="00F451AD">
        <w:rPr>
          <w:rFonts w:cs="Calibri"/>
        </w:rPr>
        <w:t>;</w:t>
      </w:r>
      <w:r w:rsidRPr="00E472DE">
        <w:rPr>
          <w:rFonts w:cs="Calibri"/>
        </w:rPr>
        <w:t xml:space="preserve"> </w:t>
      </w:r>
    </w:p>
    <w:p w14:paraId="51643583" w14:textId="0022DFBA" w:rsidR="008E5C24" w:rsidRDefault="008E5C24" w:rsidP="00E971D3">
      <w:pPr>
        <w:autoSpaceDE w:val="0"/>
        <w:autoSpaceDN w:val="0"/>
        <w:adjustRightInd w:val="0"/>
        <w:rPr>
          <w:rFonts w:cs="Calibri"/>
        </w:rPr>
      </w:pPr>
      <w:r w:rsidRPr="001123C8">
        <w:rPr>
          <w:rFonts w:cs="Calibri"/>
          <w:highlight w:val="lightGray"/>
        </w:rPr>
        <w:t>Cílem projektu č. 3</w:t>
      </w:r>
      <w:r w:rsidR="00BB03BD" w:rsidRPr="00BB03BD">
        <w:rPr>
          <w:rStyle w:val="Znakapoznpodarou"/>
          <w:rFonts w:cs="Calibri"/>
          <w:color w:val="FF0000"/>
        </w:rPr>
        <w:footnoteReference w:id="3"/>
      </w:r>
      <w:r w:rsidR="00660B19">
        <w:rPr>
          <w:rFonts w:cs="Calibri"/>
          <w:highlight w:val="lightGray"/>
        </w:rPr>
        <w:t xml:space="preserve"> </w:t>
      </w:r>
      <w:r w:rsidRPr="00660B19">
        <w:rPr>
          <w:rFonts w:cs="Calibri"/>
          <w:highlight w:val="lightGray"/>
        </w:rPr>
        <w:t>je zajištění podpory pro výzkumníky na kariérní přestávce prostřednictvím KA</w:t>
      </w:r>
      <w:r w:rsidR="007B5A2F" w:rsidRPr="00660B19">
        <w:rPr>
          <w:rFonts w:cs="Calibri"/>
          <w:highlight w:val="lightGray"/>
        </w:rPr>
        <w:t xml:space="preserve"> </w:t>
      </w:r>
      <w:r w:rsidRPr="00660B19">
        <w:rPr>
          <w:rFonts w:cs="Calibri"/>
          <w:highlight w:val="lightGray"/>
        </w:rPr>
        <w:t>4</w:t>
      </w:r>
      <w:r w:rsidR="002A693D" w:rsidRPr="00660B19">
        <w:rPr>
          <w:rFonts w:cs="Calibri"/>
          <w:highlight w:val="lightGray"/>
        </w:rPr>
        <w:t xml:space="preserve"> Podpora výzkumníků na kariérní přestávce</w:t>
      </w:r>
      <w:r w:rsidR="008C3D93" w:rsidRPr="00660B19">
        <w:rPr>
          <w:rFonts w:cs="Calibri"/>
          <w:highlight w:val="lightGray"/>
        </w:rPr>
        <w:t>.</w:t>
      </w:r>
    </w:p>
    <w:bookmarkEnd w:id="0"/>
    <w:p w14:paraId="5FC8B7D1" w14:textId="77777777" w:rsidR="00F305B8" w:rsidRPr="00770443" w:rsidRDefault="00F305B8" w:rsidP="007C65D2">
      <w:pPr>
        <w:spacing w:before="240"/>
        <w:rPr>
          <w:rFonts w:cs="Calibri"/>
          <w:b/>
        </w:rPr>
      </w:pPr>
      <w:r w:rsidRPr="00770443">
        <w:rPr>
          <w:rFonts w:cs="Calibri"/>
          <w:b/>
        </w:rPr>
        <w:t>Klíčové aktivity</w:t>
      </w:r>
      <w:r w:rsidRPr="00770443">
        <w:rPr>
          <w:rStyle w:val="Znakapoznpodarou"/>
          <w:rFonts w:cs="Calibri"/>
          <w:b/>
        </w:rPr>
        <w:footnoteReference w:id="4"/>
      </w:r>
    </w:p>
    <w:p w14:paraId="44833F55" w14:textId="48A27448" w:rsidR="0096659F" w:rsidRDefault="00021A22" w:rsidP="006750C8">
      <w:pPr>
        <w:autoSpaceDE w:val="0"/>
        <w:autoSpaceDN w:val="0"/>
        <w:adjustRightInd w:val="0"/>
        <w:rPr>
          <w:rFonts w:cs="Calibri"/>
          <w:i/>
        </w:rPr>
      </w:pPr>
      <w:r>
        <w:rPr>
          <w:rFonts w:cs="Calibri"/>
          <w:i/>
        </w:rPr>
        <w:t>Na toto místo</w:t>
      </w:r>
      <w:r w:rsidR="00BA0F97" w:rsidRPr="00FF3A92">
        <w:rPr>
          <w:rFonts w:cs="Calibri"/>
          <w:i/>
        </w:rPr>
        <w:t xml:space="preserve"> bude přenesen text pol</w:t>
      </w:r>
      <w:r w:rsidR="00BA0F97">
        <w:rPr>
          <w:rFonts w:cs="Calibri"/>
          <w:i/>
        </w:rPr>
        <w:t>í v kapitol</w:t>
      </w:r>
      <w:r>
        <w:rPr>
          <w:rFonts w:cs="Calibri"/>
          <w:i/>
        </w:rPr>
        <w:t>e</w:t>
      </w:r>
      <w:r w:rsidR="00BA0F97">
        <w:rPr>
          <w:rFonts w:cs="Calibri"/>
          <w:i/>
        </w:rPr>
        <w:t xml:space="preserve"> 9. Klíčové aktivity Studie proveditelnosti označených jako </w:t>
      </w:r>
      <w:r w:rsidR="005C4889" w:rsidRPr="006750C8">
        <w:rPr>
          <w:rFonts w:cs="Calibri"/>
          <w:b/>
          <w:bCs/>
          <w:i/>
        </w:rPr>
        <w:t>„</w:t>
      </w:r>
      <w:r w:rsidR="00BA0F97" w:rsidRPr="005C4889">
        <w:rPr>
          <w:rFonts w:cs="Calibri"/>
          <w:b/>
          <w:bCs/>
          <w:i/>
        </w:rPr>
        <w:t>text k převodu do ZPP</w:t>
      </w:r>
      <w:r w:rsidR="005C4889">
        <w:rPr>
          <w:rFonts w:cs="Calibri"/>
          <w:b/>
          <w:bCs/>
          <w:i/>
        </w:rPr>
        <w:t>“</w:t>
      </w:r>
      <w:r w:rsidR="00BA0F97">
        <w:rPr>
          <w:rFonts w:cs="Calibri"/>
          <w:i/>
        </w:rPr>
        <w:t>.</w:t>
      </w:r>
      <w:r w:rsidR="00BA0F97" w:rsidRPr="00FF3A92">
        <w:rPr>
          <w:rFonts w:cs="Calibri"/>
          <w:i/>
        </w:rPr>
        <w:t xml:space="preserve"> Do ZPP se přenáší všechny klíčové aktivity s výjimkou KA 1 Řízení projektu.</w:t>
      </w:r>
    </w:p>
    <w:p w14:paraId="074C011A" w14:textId="1BFD2F69" w:rsidR="00F305B8" w:rsidRPr="00770443" w:rsidRDefault="00F305B8" w:rsidP="0096659F">
      <w:pPr>
        <w:autoSpaceDE w:val="0"/>
        <w:autoSpaceDN w:val="0"/>
        <w:adjustRightInd w:val="0"/>
        <w:spacing w:before="240"/>
        <w:jc w:val="left"/>
        <w:rPr>
          <w:rFonts w:cs="Calibri"/>
          <w:u w:val="single"/>
        </w:rPr>
      </w:pPr>
      <w:r w:rsidRPr="00770443">
        <w:rPr>
          <w:rFonts w:cs="Calibri"/>
          <w:b/>
          <w:u w:val="single"/>
        </w:rPr>
        <w:t>Název KA 2:</w:t>
      </w:r>
      <w:r w:rsidRPr="00770443">
        <w:rPr>
          <w:rFonts w:cs="Calibri"/>
          <w:b/>
        </w:rPr>
        <w:t xml:space="preserve"> </w:t>
      </w:r>
      <w:r w:rsidRPr="00770443">
        <w:rPr>
          <w:rFonts w:cs="Calibri"/>
          <w:highlight w:val="lightGray"/>
        </w:rPr>
        <w:t>…</w:t>
      </w:r>
      <w:r w:rsidR="00FF3A92">
        <w:rPr>
          <w:rStyle w:val="Znakapoznpodarou"/>
          <w:rFonts w:cs="Calibri"/>
          <w:highlight w:val="lightGray"/>
        </w:rPr>
        <w:footnoteReference w:id="5"/>
      </w:r>
    </w:p>
    <w:p w14:paraId="09D2FB2B" w14:textId="77777777" w:rsidR="00F305B8" w:rsidRDefault="00F305B8" w:rsidP="00FC7D8E">
      <w:pPr>
        <w:autoSpaceDE w:val="0"/>
        <w:autoSpaceDN w:val="0"/>
        <w:adjustRightInd w:val="0"/>
        <w:jc w:val="left"/>
        <w:rPr>
          <w:rFonts w:cs="Calibri"/>
          <w:b/>
          <w:u w:val="single"/>
        </w:rPr>
      </w:pPr>
      <w:r w:rsidRPr="00770443">
        <w:rPr>
          <w:rFonts w:cs="Calibri"/>
          <w:b/>
          <w:u w:val="single"/>
        </w:rPr>
        <w:t>Popis KA 2:</w:t>
      </w:r>
    </w:p>
    <w:p w14:paraId="1351566A" w14:textId="77777777" w:rsidR="0096659F" w:rsidRPr="001C743E" w:rsidRDefault="0096659F" w:rsidP="0096659F">
      <w:pPr>
        <w:autoSpaceDE w:val="0"/>
        <w:autoSpaceDN w:val="0"/>
        <w:adjustRightInd w:val="0"/>
        <w:spacing w:before="0" w:after="0"/>
        <w:jc w:val="left"/>
        <w:rPr>
          <w:rFonts w:cs="Calibri"/>
          <w:bCs/>
        </w:rPr>
      </w:pPr>
      <w:r w:rsidRPr="001C743E">
        <w:rPr>
          <w:rFonts w:cs="Calibri"/>
          <w:bCs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6CD51C" w14:textId="77777777" w:rsidR="0096659F" w:rsidRDefault="0096659F" w:rsidP="0096659F">
      <w:pPr>
        <w:autoSpaceDE w:val="0"/>
        <w:autoSpaceDN w:val="0"/>
        <w:adjustRightInd w:val="0"/>
        <w:spacing w:before="0" w:after="0"/>
        <w:jc w:val="left"/>
        <w:rPr>
          <w:rFonts w:cs="Calibri"/>
          <w:bCs/>
        </w:rPr>
      </w:pPr>
      <w:r w:rsidRPr="001C743E">
        <w:rPr>
          <w:rFonts w:cs="Calibri"/>
          <w:bCs/>
          <w:highlight w:val="lightGray"/>
        </w:rPr>
        <w:t>…………………………………………………………………………………………………………………………………………………………</w:t>
      </w:r>
      <w:r w:rsidRPr="00953767">
        <w:rPr>
          <w:rFonts w:cs="Calibri"/>
          <w:bCs/>
          <w:highlight w:val="lightGray"/>
        </w:rPr>
        <w:t>…</w:t>
      </w:r>
    </w:p>
    <w:p w14:paraId="14385A48" w14:textId="77777777" w:rsidR="0096659F" w:rsidRDefault="0096659F" w:rsidP="0096659F">
      <w:pPr>
        <w:autoSpaceDE w:val="0"/>
        <w:autoSpaceDN w:val="0"/>
        <w:adjustRightInd w:val="0"/>
        <w:jc w:val="left"/>
        <w:rPr>
          <w:rFonts w:cs="Calibri"/>
          <w:bCs/>
          <w:i/>
          <w:iCs/>
        </w:rPr>
      </w:pPr>
      <w:r>
        <w:rPr>
          <w:rFonts w:cs="Calibri"/>
          <w:bCs/>
          <w:i/>
          <w:iCs/>
        </w:rPr>
        <w:t>Obdobně též pro KA 3, KA 4 atd.</w:t>
      </w:r>
    </w:p>
    <w:p w14:paraId="43063FD8" w14:textId="29D2A57F" w:rsidR="0096659F" w:rsidRDefault="0096659F" w:rsidP="0096659F">
      <w:pPr>
        <w:pStyle w:val="Tabulkatext"/>
        <w:spacing w:before="240"/>
        <w:ind w:left="0"/>
        <w:rPr>
          <w:i/>
          <w:iCs/>
          <w:sz w:val="22"/>
        </w:rPr>
      </w:pPr>
      <w:r w:rsidRPr="00936D7C">
        <w:rPr>
          <w:rFonts w:cs="Calibri"/>
          <w:b/>
          <w:bCs/>
          <w:sz w:val="22"/>
        </w:rPr>
        <w:t>Přehled výstupů projektu</w:t>
      </w:r>
      <w:r>
        <w:rPr>
          <w:rStyle w:val="Znakapoznpodarou"/>
          <w:rFonts w:cs="Calibri"/>
          <w:sz w:val="22"/>
        </w:rPr>
        <w:footnoteReference w:id="6"/>
      </w:r>
      <w:r w:rsidRPr="001D02A3">
        <w:rPr>
          <w:i/>
          <w:iCs/>
          <w:sz w:val="22"/>
        </w:rPr>
        <w:t xml:space="preserve"> </w:t>
      </w:r>
    </w:p>
    <w:p w14:paraId="61CC1E01" w14:textId="593317A7" w:rsidR="0096659F" w:rsidRDefault="0096659F" w:rsidP="0096659F">
      <w:pPr>
        <w:pStyle w:val="Tabulkatext"/>
        <w:spacing w:before="120" w:after="120"/>
        <w:ind w:left="0"/>
        <w:jc w:val="both"/>
        <w:rPr>
          <w:i/>
          <w:iCs/>
          <w:sz w:val="22"/>
        </w:rPr>
      </w:pPr>
      <w:r w:rsidRPr="005A1257">
        <w:rPr>
          <w:i/>
          <w:iCs/>
          <w:sz w:val="22"/>
        </w:rPr>
        <w:t xml:space="preserve">Do tabulky budou převedeny údaje z kapitoly </w:t>
      </w:r>
      <w:r w:rsidR="00D555DC" w:rsidRPr="004626AD">
        <w:rPr>
          <w:i/>
          <w:iCs/>
          <w:sz w:val="22"/>
        </w:rPr>
        <w:t>10.2</w:t>
      </w:r>
      <w:r w:rsidRPr="00204165">
        <w:rPr>
          <w:i/>
          <w:iCs/>
          <w:sz w:val="22"/>
        </w:rPr>
        <w:t xml:space="preserve"> </w:t>
      </w:r>
      <w:r w:rsidR="008B4EB5">
        <w:rPr>
          <w:i/>
          <w:iCs/>
          <w:sz w:val="22"/>
        </w:rPr>
        <w:t xml:space="preserve">Další výsledky a výstupy nad rámec indikátorů </w:t>
      </w:r>
      <w:r w:rsidRPr="00D32DA0">
        <w:rPr>
          <w:i/>
          <w:iCs/>
          <w:sz w:val="22"/>
        </w:rPr>
        <w:t>St</w:t>
      </w:r>
      <w:r w:rsidRPr="005A1257">
        <w:rPr>
          <w:i/>
          <w:iCs/>
          <w:sz w:val="22"/>
        </w:rPr>
        <w:t>udie proveditelnosti.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84"/>
        <w:gridCol w:w="4966"/>
        <w:gridCol w:w="1410"/>
      </w:tblGrid>
      <w:tr w:rsidR="002F28F8" w14:paraId="63BEBF9F" w14:textId="77777777" w:rsidTr="002F28F8">
        <w:trPr>
          <w:trHeight w:val="317"/>
        </w:trPr>
        <w:tc>
          <w:tcPr>
            <w:tcW w:w="2684" w:type="dxa"/>
          </w:tcPr>
          <w:p w14:paraId="08124D86" w14:textId="0EB17184" w:rsidR="002F28F8" w:rsidRPr="002F28F8" w:rsidRDefault="002F28F8" w:rsidP="00021A22">
            <w:pPr>
              <w:spacing w:before="60" w:after="60"/>
              <w:ind w:left="133"/>
              <w:jc w:val="left"/>
              <w:rPr>
                <w:rFonts w:cs="Calibri"/>
                <w:b/>
                <w:bCs/>
              </w:rPr>
            </w:pPr>
            <w:r w:rsidRPr="002F28F8">
              <w:rPr>
                <w:rFonts w:cs="Calibri"/>
                <w:b/>
                <w:bCs/>
              </w:rPr>
              <w:t>Název výstupu</w:t>
            </w:r>
          </w:p>
        </w:tc>
        <w:tc>
          <w:tcPr>
            <w:tcW w:w="4966" w:type="dxa"/>
          </w:tcPr>
          <w:p w14:paraId="4134BCCF" w14:textId="77AE3568" w:rsidR="002F28F8" w:rsidRPr="002F28F8" w:rsidRDefault="002F28F8" w:rsidP="00021A22">
            <w:pPr>
              <w:spacing w:before="60" w:after="60"/>
              <w:ind w:left="133"/>
              <w:jc w:val="left"/>
              <w:rPr>
                <w:rFonts w:cs="Calibri"/>
                <w:b/>
                <w:bCs/>
              </w:rPr>
            </w:pPr>
            <w:r w:rsidRPr="002F28F8">
              <w:rPr>
                <w:rFonts w:cs="Calibri"/>
                <w:b/>
                <w:bCs/>
              </w:rPr>
              <w:t xml:space="preserve">Popis výstupu </w:t>
            </w:r>
          </w:p>
        </w:tc>
        <w:tc>
          <w:tcPr>
            <w:tcW w:w="1410" w:type="dxa"/>
          </w:tcPr>
          <w:p w14:paraId="1F3C34B5" w14:textId="32F0A84A" w:rsidR="002F28F8" w:rsidRPr="002F28F8" w:rsidRDefault="002F28F8" w:rsidP="00021A22">
            <w:pPr>
              <w:spacing w:before="60" w:after="60"/>
              <w:jc w:val="center"/>
              <w:rPr>
                <w:rFonts w:cs="Calibri"/>
                <w:b/>
                <w:bCs/>
              </w:rPr>
            </w:pPr>
            <w:r w:rsidRPr="002F28F8">
              <w:rPr>
                <w:rFonts w:cs="Calibri"/>
                <w:b/>
                <w:bCs/>
              </w:rPr>
              <w:t>Vazba na KA</w:t>
            </w:r>
          </w:p>
        </w:tc>
      </w:tr>
      <w:tr w:rsidR="002F28F8" w14:paraId="45D9C957" w14:textId="77777777" w:rsidTr="002F28F8">
        <w:trPr>
          <w:trHeight w:val="317"/>
        </w:trPr>
        <w:tc>
          <w:tcPr>
            <w:tcW w:w="2684" w:type="dxa"/>
          </w:tcPr>
          <w:p w14:paraId="574760B5" w14:textId="2231067F" w:rsidR="002F28F8" w:rsidRPr="002F28F8" w:rsidRDefault="002F28F8" w:rsidP="00021A22">
            <w:pPr>
              <w:spacing w:before="60" w:after="60"/>
              <w:ind w:left="133"/>
              <w:jc w:val="left"/>
              <w:rPr>
                <w:rFonts w:cs="Calibri"/>
                <w:highlight w:val="lightGray"/>
              </w:rPr>
            </w:pPr>
            <w:r w:rsidRPr="002F28F8">
              <w:rPr>
                <w:rFonts w:cs="Calibri"/>
                <w:highlight w:val="lightGray"/>
              </w:rPr>
              <w:t>…</w:t>
            </w:r>
          </w:p>
        </w:tc>
        <w:tc>
          <w:tcPr>
            <w:tcW w:w="4966" w:type="dxa"/>
          </w:tcPr>
          <w:p w14:paraId="6855D8C4" w14:textId="4DD2F9A6" w:rsidR="002F28F8" w:rsidRPr="002F28F8" w:rsidRDefault="002F28F8" w:rsidP="00021A22">
            <w:pPr>
              <w:spacing w:before="60" w:after="60"/>
              <w:ind w:left="133"/>
              <w:jc w:val="left"/>
              <w:rPr>
                <w:rFonts w:cs="Calibri"/>
                <w:highlight w:val="lightGray"/>
              </w:rPr>
            </w:pPr>
            <w:r w:rsidRPr="002F28F8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410" w:type="dxa"/>
          </w:tcPr>
          <w:p w14:paraId="3643106C" w14:textId="32E666BF" w:rsidR="002F28F8" w:rsidRPr="002F28F8" w:rsidRDefault="002F28F8" w:rsidP="00021A22">
            <w:pPr>
              <w:spacing w:before="60" w:after="60"/>
              <w:jc w:val="center"/>
              <w:rPr>
                <w:rFonts w:cs="Calibri"/>
              </w:rPr>
            </w:pPr>
            <w:r w:rsidRPr="002F28F8">
              <w:rPr>
                <w:rFonts w:cs="Calibri"/>
              </w:rPr>
              <w:t xml:space="preserve">KA </w:t>
            </w:r>
            <w:r w:rsidRPr="002F28F8">
              <w:rPr>
                <w:rFonts w:cs="Calibri"/>
                <w:highlight w:val="lightGray"/>
              </w:rPr>
              <w:t>…</w:t>
            </w:r>
          </w:p>
        </w:tc>
      </w:tr>
      <w:tr w:rsidR="002F28F8" w14:paraId="79F2598C" w14:textId="77777777" w:rsidTr="002F28F8">
        <w:trPr>
          <w:trHeight w:val="317"/>
        </w:trPr>
        <w:tc>
          <w:tcPr>
            <w:tcW w:w="2684" w:type="dxa"/>
          </w:tcPr>
          <w:p w14:paraId="0EA15621" w14:textId="4C007F0F" w:rsidR="002F28F8" w:rsidRPr="002F28F8" w:rsidRDefault="002F28F8" w:rsidP="00021A22">
            <w:pPr>
              <w:spacing w:before="60" w:after="60"/>
              <w:ind w:left="133"/>
              <w:jc w:val="left"/>
              <w:rPr>
                <w:rFonts w:cs="Calibri"/>
                <w:highlight w:val="lightGray"/>
              </w:rPr>
            </w:pPr>
            <w:r w:rsidRPr="002F28F8">
              <w:rPr>
                <w:rFonts w:cs="Calibri"/>
                <w:highlight w:val="lightGray"/>
              </w:rPr>
              <w:t>…</w:t>
            </w:r>
          </w:p>
        </w:tc>
        <w:tc>
          <w:tcPr>
            <w:tcW w:w="4966" w:type="dxa"/>
          </w:tcPr>
          <w:p w14:paraId="5E71D959" w14:textId="4A173BD7" w:rsidR="002F28F8" w:rsidRPr="002F28F8" w:rsidRDefault="002F28F8" w:rsidP="00021A22">
            <w:pPr>
              <w:spacing w:before="60" w:after="60"/>
              <w:ind w:left="133"/>
              <w:jc w:val="left"/>
              <w:rPr>
                <w:rFonts w:cs="Calibri"/>
                <w:highlight w:val="lightGray"/>
              </w:rPr>
            </w:pPr>
            <w:r w:rsidRPr="002F28F8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410" w:type="dxa"/>
          </w:tcPr>
          <w:p w14:paraId="73D62911" w14:textId="012509A3" w:rsidR="002F28F8" w:rsidRPr="002F28F8" w:rsidRDefault="002F28F8" w:rsidP="00021A22">
            <w:pPr>
              <w:spacing w:before="60" w:after="60"/>
              <w:jc w:val="center"/>
              <w:rPr>
                <w:rFonts w:cs="Calibri"/>
              </w:rPr>
            </w:pPr>
            <w:r w:rsidRPr="002F28F8">
              <w:rPr>
                <w:rFonts w:cs="Calibri"/>
              </w:rPr>
              <w:t xml:space="preserve">KA </w:t>
            </w:r>
            <w:r w:rsidRPr="002F28F8">
              <w:rPr>
                <w:rFonts w:cs="Calibri"/>
                <w:highlight w:val="lightGray"/>
              </w:rPr>
              <w:t>…</w:t>
            </w:r>
          </w:p>
        </w:tc>
      </w:tr>
      <w:tr w:rsidR="002F28F8" w14:paraId="07BA8BD2" w14:textId="77777777" w:rsidTr="002F28F8">
        <w:trPr>
          <w:trHeight w:val="317"/>
        </w:trPr>
        <w:tc>
          <w:tcPr>
            <w:tcW w:w="2684" w:type="dxa"/>
          </w:tcPr>
          <w:p w14:paraId="006ED8FF" w14:textId="04EF57E8" w:rsidR="002F28F8" w:rsidRPr="002F28F8" w:rsidRDefault="002F28F8" w:rsidP="00021A22">
            <w:pPr>
              <w:spacing w:before="60" w:after="60"/>
              <w:ind w:left="133"/>
              <w:jc w:val="left"/>
              <w:rPr>
                <w:rFonts w:cs="Calibri"/>
                <w:highlight w:val="lightGray"/>
              </w:rPr>
            </w:pPr>
            <w:r w:rsidRPr="002F28F8">
              <w:rPr>
                <w:rFonts w:cs="Calibri"/>
                <w:highlight w:val="lightGray"/>
              </w:rPr>
              <w:t>…</w:t>
            </w:r>
          </w:p>
        </w:tc>
        <w:tc>
          <w:tcPr>
            <w:tcW w:w="4966" w:type="dxa"/>
          </w:tcPr>
          <w:p w14:paraId="3787688F" w14:textId="6D0C20C4" w:rsidR="002F28F8" w:rsidRPr="002F28F8" w:rsidRDefault="002F28F8" w:rsidP="00021A22">
            <w:pPr>
              <w:spacing w:before="60" w:after="60"/>
              <w:ind w:left="133"/>
              <w:jc w:val="left"/>
              <w:rPr>
                <w:rFonts w:cs="Calibri"/>
                <w:highlight w:val="lightGray"/>
              </w:rPr>
            </w:pPr>
            <w:r w:rsidRPr="002F28F8">
              <w:rPr>
                <w:rFonts w:cs="Calibri"/>
                <w:highlight w:val="lightGray"/>
              </w:rPr>
              <w:t>…</w:t>
            </w:r>
          </w:p>
        </w:tc>
        <w:tc>
          <w:tcPr>
            <w:tcW w:w="1410" w:type="dxa"/>
          </w:tcPr>
          <w:p w14:paraId="32DA9CB5" w14:textId="360EE901" w:rsidR="002F28F8" w:rsidRPr="002F28F8" w:rsidRDefault="002F28F8" w:rsidP="00021A22">
            <w:pPr>
              <w:spacing w:before="60" w:after="60"/>
              <w:jc w:val="center"/>
              <w:rPr>
                <w:rFonts w:cs="Calibri"/>
              </w:rPr>
            </w:pPr>
            <w:r w:rsidRPr="002F28F8">
              <w:rPr>
                <w:rFonts w:cs="Calibri"/>
              </w:rPr>
              <w:t xml:space="preserve">KA </w:t>
            </w:r>
            <w:r w:rsidRPr="002F28F8">
              <w:rPr>
                <w:rFonts w:cs="Calibri"/>
                <w:highlight w:val="lightGray"/>
              </w:rPr>
              <w:t>…</w:t>
            </w:r>
          </w:p>
        </w:tc>
      </w:tr>
    </w:tbl>
    <w:p w14:paraId="404CAE88" w14:textId="33DF98A9" w:rsidR="00021A22" w:rsidRDefault="00021A22" w:rsidP="005C4889">
      <w:pPr>
        <w:pStyle w:val="Textpoznpodarou"/>
        <w:widowControl w:val="0"/>
        <w:spacing w:before="240"/>
      </w:pPr>
      <w:r>
        <w:rPr>
          <w:b/>
          <w:bCs/>
        </w:rPr>
        <w:lastRenderedPageBreak/>
        <w:t>Příjemce je povinen</w:t>
      </w:r>
      <w:r w:rsidRPr="00912A10">
        <w:rPr>
          <w:rStyle w:val="Znakapoznpodarou"/>
          <w:b/>
          <w:bCs/>
          <w:color w:val="000000" w:themeColor="text1"/>
        </w:rPr>
        <w:footnoteReference w:id="7"/>
      </w:r>
      <w:r>
        <w:rPr>
          <w:b/>
          <w:bCs/>
        </w:rPr>
        <w:t xml:space="preserve"> naplnit parametry Schéma</w:t>
      </w:r>
      <w:r w:rsidR="00895106">
        <w:rPr>
          <w:b/>
          <w:bCs/>
        </w:rPr>
        <w:t>tu</w:t>
      </w:r>
      <w:r>
        <w:rPr>
          <w:b/>
          <w:bCs/>
        </w:rPr>
        <w:t xml:space="preserve"> návratového grantu</w:t>
      </w:r>
      <w:r w:rsidRPr="002C7BE2">
        <w:rPr>
          <w:b/>
          <w:bCs/>
        </w:rPr>
        <w:t>,</w:t>
      </w:r>
      <w:r w:rsidRPr="001D1EE6">
        <w:t xml:space="preserve"> který je nedílnou součástí </w:t>
      </w:r>
      <w:r>
        <w:t xml:space="preserve">těchto </w:t>
      </w:r>
      <w:r w:rsidRPr="001D1EE6">
        <w:t>Základních parametrů projektu</w:t>
      </w:r>
      <w:r>
        <w:t>.</w:t>
      </w:r>
    </w:p>
    <w:p w14:paraId="224FF997" w14:textId="77777777" w:rsidR="00F305B8" w:rsidRPr="00BD4751" w:rsidRDefault="00F305B8" w:rsidP="00BD4751">
      <w:pPr>
        <w:pStyle w:val="Nadpis2"/>
        <w:numPr>
          <w:ilvl w:val="0"/>
          <w:numId w:val="6"/>
        </w:numPr>
        <w:tabs>
          <w:tab w:val="clear" w:pos="5790"/>
        </w:tabs>
        <w:ind w:firstLine="0"/>
      </w:pPr>
      <w:r w:rsidRPr="00BD4751">
        <w:t>Indikátory</w:t>
      </w:r>
      <w:r w:rsidRPr="00BD4751">
        <w:rPr>
          <w:vertAlign w:val="superscript"/>
        </w:rPr>
        <w:footnoteReference w:id="8"/>
      </w:r>
    </w:p>
    <w:p w14:paraId="7126D012" w14:textId="77777777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>Indikátory povinné k naplnění</w:t>
      </w:r>
    </w:p>
    <w:p w14:paraId="37A0F0A9" w14:textId="23024CCD" w:rsidR="00476711" w:rsidRDefault="00476711" w:rsidP="00476711">
      <w:pPr>
        <w:rPr>
          <w:rFonts w:cs="Calibri"/>
        </w:rPr>
      </w:pPr>
      <w:r w:rsidRPr="00770443">
        <w:rPr>
          <w:rFonts w:cs="Calibri"/>
        </w:rPr>
        <w:t xml:space="preserve">Navýšení cílové hodnoty indikátoru </w:t>
      </w:r>
      <w:r>
        <w:rPr>
          <w:rFonts w:cs="Calibri"/>
        </w:rPr>
        <w:t>povinného k</w:t>
      </w:r>
      <w:r w:rsidR="0096659F">
        <w:rPr>
          <w:rFonts w:cs="Calibri"/>
        </w:rPr>
        <w:t xml:space="preserve"> </w:t>
      </w:r>
      <w:r>
        <w:rPr>
          <w:rFonts w:cs="Calibri"/>
        </w:rPr>
        <w:t xml:space="preserve">naplnění </w:t>
      </w:r>
      <w:r w:rsidRPr="00770443">
        <w:rPr>
          <w:rFonts w:cs="Calibri"/>
        </w:rPr>
        <w:t>je příjemce povinen provádět formou změnového řízení dle PpŽP – obecná část (nepodstatná změna).</w:t>
      </w:r>
    </w:p>
    <w:p w14:paraId="74189BC5" w14:textId="46558234" w:rsidR="00F305B8" w:rsidRPr="007C65D2" w:rsidRDefault="007C65D2" w:rsidP="00F305B8">
      <w:pPr>
        <w:rPr>
          <w:rFonts w:cs="Calibri"/>
          <w:i/>
        </w:rPr>
      </w:pPr>
      <w:r>
        <w:rPr>
          <w:rFonts w:cs="Calibri"/>
          <w:i/>
        </w:rPr>
        <w:t>Na toto místo budou z ISKP21+ přeneseny zvolené indik</w:t>
      </w:r>
      <w:r w:rsidR="00E71B5A">
        <w:rPr>
          <w:rFonts w:cs="Calibri"/>
          <w:i/>
        </w:rPr>
        <w:t>á</w:t>
      </w:r>
      <w:r>
        <w:rPr>
          <w:rFonts w:cs="Calibri"/>
          <w:i/>
        </w:rPr>
        <w:t>tory.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2268"/>
        <w:gridCol w:w="1268"/>
      </w:tblGrid>
      <w:tr w:rsidR="00F305B8" w:rsidRPr="00770443" w14:paraId="6E61D865" w14:textId="77777777" w:rsidTr="008F0E5F">
        <w:tc>
          <w:tcPr>
            <w:tcW w:w="1413" w:type="dxa"/>
            <w:vAlign w:val="center"/>
          </w:tcPr>
          <w:p w14:paraId="6F1CC495" w14:textId="66E7E125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  <w:r w:rsidR="008F6F6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  <w:tc>
          <w:tcPr>
            <w:tcW w:w="2693" w:type="dxa"/>
            <w:vAlign w:val="center"/>
          </w:tcPr>
          <w:p w14:paraId="3DAE773F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6921941C" w14:textId="77777777" w:rsidR="00F305B8" w:rsidRPr="00770443" w:rsidRDefault="00F305B8" w:rsidP="00F65B94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483BE969" w14:textId="77777777" w:rsidR="00F305B8" w:rsidRPr="00770443" w:rsidRDefault="00F305B8" w:rsidP="00F65B94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2268" w:type="dxa"/>
            <w:vAlign w:val="center"/>
          </w:tcPr>
          <w:p w14:paraId="3D7648EC" w14:textId="51BFE3D2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  <w:r w:rsidR="008F6F66" w:rsidRPr="00770443">
              <w:rPr>
                <w:rFonts w:ascii="Calibri" w:hAnsi="Calibri" w:cs="Calibri"/>
                <w:sz w:val="22"/>
                <w:vertAlign w:val="superscript"/>
              </w:rPr>
              <w:t>**</w:t>
            </w:r>
          </w:p>
        </w:tc>
        <w:tc>
          <w:tcPr>
            <w:tcW w:w="1268" w:type="dxa"/>
            <w:vAlign w:val="center"/>
          </w:tcPr>
          <w:p w14:paraId="7DD84F2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Cílová hodnota</w:t>
            </w:r>
          </w:p>
        </w:tc>
      </w:tr>
      <w:tr w:rsidR="00F305B8" w:rsidRPr="00770443" w14:paraId="5F4C8D94" w14:textId="77777777" w:rsidTr="008F0E5F">
        <w:tc>
          <w:tcPr>
            <w:tcW w:w="1413" w:type="dxa"/>
          </w:tcPr>
          <w:p w14:paraId="3AB78850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2DF53503" w14:textId="77777777" w:rsidR="00F305B8" w:rsidRPr="00770443" w:rsidRDefault="00F305B8" w:rsidP="008F0E5F">
            <w:pPr>
              <w:pStyle w:val="Tabulkatext"/>
              <w:keepNext/>
              <w:tabs>
                <w:tab w:val="left" w:pos="1232"/>
              </w:tabs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2FF86A9" w14:textId="77777777" w:rsidR="00F305B8" w:rsidRPr="00770443" w:rsidRDefault="00F305B8" w:rsidP="00F65B94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FDDE1AE" w14:textId="4658A50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</w:p>
        </w:tc>
        <w:tc>
          <w:tcPr>
            <w:tcW w:w="1268" w:type="dxa"/>
          </w:tcPr>
          <w:p w14:paraId="4E279359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  <w:tr w:rsidR="00F305B8" w:rsidRPr="00770443" w14:paraId="449D77C6" w14:textId="77777777" w:rsidTr="008F0E5F">
        <w:tc>
          <w:tcPr>
            <w:tcW w:w="1413" w:type="dxa"/>
          </w:tcPr>
          <w:p w14:paraId="16E0553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3731C86B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0BE27582" w14:textId="77777777" w:rsidR="00F305B8" w:rsidRPr="00770443" w:rsidRDefault="00F305B8" w:rsidP="00F65B94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268" w:type="dxa"/>
          </w:tcPr>
          <w:p w14:paraId="09C2BE64" w14:textId="453EACAB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</w:p>
        </w:tc>
        <w:tc>
          <w:tcPr>
            <w:tcW w:w="1268" w:type="dxa"/>
          </w:tcPr>
          <w:p w14:paraId="0F0EC4B8" w14:textId="77777777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</w:tr>
    </w:tbl>
    <w:p w14:paraId="4BE1B0F4" w14:textId="585774FE" w:rsidR="00D94896" w:rsidRPr="0096659F" w:rsidRDefault="00D94896" w:rsidP="0096659F">
      <w:pPr>
        <w:spacing w:after="0"/>
        <w:ind w:left="284" w:hanging="284"/>
        <w:rPr>
          <w:rFonts w:cs="Calibri"/>
        </w:rPr>
      </w:pPr>
      <w:r>
        <w:rPr>
          <w:rFonts w:cs="Calibri"/>
          <w:vertAlign w:val="superscript"/>
        </w:rPr>
        <w:t xml:space="preserve">*) </w:t>
      </w:r>
      <w:r w:rsidR="0096659F">
        <w:rPr>
          <w:rFonts w:cs="Calibri"/>
          <w:vertAlign w:val="superscript"/>
        </w:rPr>
        <w:tab/>
      </w:r>
      <w:r>
        <w:rPr>
          <w:rFonts w:cs="Calibri"/>
        </w:rPr>
        <w:t>Indikátor</w:t>
      </w:r>
      <w:r w:rsidR="002E4ECF">
        <w:rPr>
          <w:rFonts w:cs="Calibri"/>
        </w:rPr>
        <w:t>y</w:t>
      </w:r>
      <w:r>
        <w:rPr>
          <w:rFonts w:cs="Calibri"/>
          <w:i/>
          <w:iCs/>
        </w:rPr>
        <w:t xml:space="preserve"> </w:t>
      </w:r>
      <w:r w:rsidR="0000349C" w:rsidRPr="00CA2883">
        <w:rPr>
          <w:rFonts w:cs="Calibri"/>
        </w:rPr>
        <w:t>214</w:t>
      </w:r>
      <w:r w:rsidR="00CA7D7C">
        <w:rPr>
          <w:rFonts w:cs="Calibri"/>
        </w:rPr>
        <w:t> </w:t>
      </w:r>
      <w:r w:rsidR="0000349C" w:rsidRPr="00CA2883">
        <w:rPr>
          <w:rFonts w:cs="Calibri"/>
        </w:rPr>
        <w:t>001</w:t>
      </w:r>
      <w:r w:rsidR="00CA7D7C">
        <w:rPr>
          <w:rFonts w:cs="Calibri"/>
        </w:rPr>
        <w:t>, 214</w:t>
      </w:r>
      <w:r w:rsidR="00A8506A">
        <w:rPr>
          <w:rFonts w:cs="Calibri"/>
        </w:rPr>
        <w:t> </w:t>
      </w:r>
      <w:r w:rsidR="00CA7D7C">
        <w:rPr>
          <w:rFonts w:cs="Calibri"/>
        </w:rPr>
        <w:t>021</w:t>
      </w:r>
      <w:r w:rsidR="00A8506A">
        <w:rPr>
          <w:rFonts w:cs="Calibri"/>
        </w:rPr>
        <w:t xml:space="preserve"> a</w:t>
      </w:r>
      <w:r w:rsidR="00CA7D7C">
        <w:rPr>
          <w:rFonts w:cs="Calibri"/>
        </w:rPr>
        <w:t xml:space="preserve"> 214 022 </w:t>
      </w:r>
      <w:r>
        <w:rPr>
          <w:rFonts w:cs="Calibri"/>
        </w:rPr>
        <w:t>je příjemce oprávněn vykázat nejpozději v</w:t>
      </w:r>
      <w:r w:rsidR="008E5F68">
        <w:rPr>
          <w:rFonts w:cs="Calibri"/>
        </w:rPr>
        <w:t xml:space="preserve"> </w:t>
      </w:r>
      <w:r>
        <w:rPr>
          <w:rFonts w:cs="Calibri"/>
        </w:rPr>
        <w:t>1. zprávě o</w:t>
      </w:r>
      <w:r w:rsidR="008E5F68">
        <w:rPr>
          <w:rFonts w:cs="Calibri"/>
        </w:rPr>
        <w:t> </w:t>
      </w:r>
      <w:r>
        <w:rPr>
          <w:rFonts w:cs="Calibri"/>
        </w:rPr>
        <w:t>udržitelnosti</w:t>
      </w:r>
      <w:r>
        <w:rPr>
          <w:rFonts w:cs="Calibri"/>
          <w:i/>
          <w:iCs/>
        </w:rPr>
        <w:t>.</w:t>
      </w:r>
    </w:p>
    <w:p w14:paraId="2C4E5CBB" w14:textId="4C4DBC1C" w:rsidR="00D94896" w:rsidRDefault="00D94896" w:rsidP="0096659F">
      <w:pPr>
        <w:spacing w:after="0"/>
        <w:ind w:left="284" w:hanging="284"/>
        <w:rPr>
          <w:rFonts w:cs="Calibri"/>
          <w:i/>
          <w:iCs/>
        </w:rPr>
      </w:pPr>
      <w:r>
        <w:rPr>
          <w:rFonts w:cs="Calibri"/>
          <w:i/>
          <w:vertAlign w:val="superscript"/>
        </w:rPr>
        <w:t>*</w:t>
      </w:r>
      <w:r w:rsidRPr="00A411A7">
        <w:rPr>
          <w:rFonts w:cs="Calibri"/>
          <w:i/>
          <w:vertAlign w:val="superscript"/>
        </w:rPr>
        <w:t>*)</w:t>
      </w:r>
      <w:r>
        <w:rPr>
          <w:rFonts w:cs="Calibri"/>
          <w:i/>
          <w:vertAlign w:val="superscript"/>
        </w:rPr>
        <w:t xml:space="preserve"> </w:t>
      </w:r>
      <w:r w:rsidR="0096659F">
        <w:rPr>
          <w:rFonts w:cs="Calibri"/>
          <w:i/>
          <w:vertAlign w:val="superscript"/>
        </w:rPr>
        <w:tab/>
      </w:r>
      <w:r w:rsidRPr="00770443">
        <w:rPr>
          <w:rFonts w:cs="Calibri"/>
          <w:i/>
        </w:rPr>
        <w:t>Nehodící se bude odstraněno</w:t>
      </w:r>
      <w:r>
        <w:rPr>
          <w:rFonts w:cs="Calibri"/>
          <w:i/>
        </w:rPr>
        <w:t>.</w:t>
      </w:r>
    </w:p>
    <w:p w14:paraId="05C9D725" w14:textId="05FDD898" w:rsidR="00F305B8" w:rsidRPr="00770443" w:rsidRDefault="00F305B8" w:rsidP="00F305B8">
      <w:pPr>
        <w:rPr>
          <w:rFonts w:cs="Calibri"/>
          <w:b/>
        </w:rPr>
      </w:pPr>
      <w:r w:rsidRPr="00770443">
        <w:rPr>
          <w:rFonts w:cs="Calibri"/>
          <w:b/>
        </w:rPr>
        <w:t xml:space="preserve">Indikátory, které </w:t>
      </w:r>
      <w:r w:rsidR="000C345E">
        <w:rPr>
          <w:rFonts w:cs="Calibri"/>
          <w:b/>
        </w:rPr>
        <w:t>je</w:t>
      </w:r>
      <w:r w:rsidRPr="00770443">
        <w:rPr>
          <w:rFonts w:cs="Calibri"/>
          <w:b/>
        </w:rPr>
        <w:t xml:space="preserve"> příjemce </w:t>
      </w:r>
      <w:r w:rsidR="000C345E">
        <w:rPr>
          <w:rFonts w:cs="Calibri"/>
          <w:b/>
        </w:rPr>
        <w:t xml:space="preserve">povinen </w:t>
      </w:r>
      <w:r w:rsidRPr="00770443">
        <w:rPr>
          <w:rFonts w:cs="Calibri"/>
          <w:b/>
        </w:rPr>
        <w:t>vykazovat,</w:t>
      </w:r>
      <w:r w:rsidRPr="00770443">
        <w:rPr>
          <w:rFonts w:cs="Calibri"/>
          <w:b/>
          <w:vertAlign w:val="superscript"/>
        </w:rPr>
        <w:t xml:space="preserve"> </w:t>
      </w:r>
      <w:r w:rsidRPr="00770443">
        <w:rPr>
          <w:rFonts w:cs="Calibri"/>
          <w:b/>
        </w:rPr>
        <w:t>ale jejichž cílová hodnota nepředstavuje závazek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3536"/>
      </w:tblGrid>
      <w:tr w:rsidR="00F305B8" w:rsidRPr="00770443" w14:paraId="5173538A" w14:textId="77777777" w:rsidTr="0096659F">
        <w:tc>
          <w:tcPr>
            <w:tcW w:w="1413" w:type="dxa"/>
            <w:vAlign w:val="center"/>
          </w:tcPr>
          <w:p w14:paraId="2B4F5054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Kód indikátoru</w:t>
            </w:r>
          </w:p>
        </w:tc>
        <w:tc>
          <w:tcPr>
            <w:tcW w:w="2693" w:type="dxa"/>
            <w:vAlign w:val="center"/>
          </w:tcPr>
          <w:p w14:paraId="1CC96E99" w14:textId="77777777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Název</w:t>
            </w:r>
          </w:p>
        </w:tc>
        <w:tc>
          <w:tcPr>
            <w:tcW w:w="1418" w:type="dxa"/>
            <w:vAlign w:val="center"/>
          </w:tcPr>
          <w:p w14:paraId="76A4B361" w14:textId="77777777" w:rsidR="00F305B8" w:rsidRPr="00770443" w:rsidRDefault="00F305B8" w:rsidP="00F65B94">
            <w:pPr>
              <w:pStyle w:val="Tabulkazhlav"/>
              <w:keepNext/>
              <w:spacing w:after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Měrná</w:t>
            </w:r>
          </w:p>
          <w:p w14:paraId="27827B3D" w14:textId="77777777" w:rsidR="00F305B8" w:rsidRPr="00770443" w:rsidRDefault="00F305B8" w:rsidP="00F65B94">
            <w:pPr>
              <w:pStyle w:val="Tabulkazhlav"/>
              <w:keepNext/>
              <w:spacing w:before="0"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jednotka</w:t>
            </w:r>
          </w:p>
        </w:tc>
        <w:tc>
          <w:tcPr>
            <w:tcW w:w="3536" w:type="dxa"/>
            <w:vAlign w:val="center"/>
          </w:tcPr>
          <w:p w14:paraId="53BE9552" w14:textId="49FF1455" w:rsidR="00F305B8" w:rsidRPr="00770443" w:rsidRDefault="00F305B8" w:rsidP="008F0E5F">
            <w:pPr>
              <w:pStyle w:val="Tabulkazhlav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</w:rPr>
              <w:t>Typ indikátoru</w:t>
            </w:r>
            <w:r w:rsidR="008F6F66" w:rsidRPr="00770443">
              <w:rPr>
                <w:rFonts w:ascii="Calibri" w:hAnsi="Calibri" w:cs="Calibri"/>
                <w:sz w:val="22"/>
                <w:vertAlign w:val="superscript"/>
              </w:rPr>
              <w:t>*</w:t>
            </w:r>
          </w:p>
        </w:tc>
      </w:tr>
      <w:tr w:rsidR="00F305B8" w:rsidRPr="00770443" w14:paraId="39679C4F" w14:textId="77777777" w:rsidTr="0096659F">
        <w:tc>
          <w:tcPr>
            <w:tcW w:w="1413" w:type="dxa"/>
          </w:tcPr>
          <w:p w14:paraId="5058AC6C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74DB9C86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2810B319" w14:textId="77777777" w:rsidR="00F305B8" w:rsidRPr="00770443" w:rsidRDefault="00F305B8" w:rsidP="00F65B94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536" w:type="dxa"/>
          </w:tcPr>
          <w:p w14:paraId="23B387A5" w14:textId="59BBCC08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</w:p>
        </w:tc>
      </w:tr>
      <w:tr w:rsidR="00F305B8" w:rsidRPr="00770443" w14:paraId="79A6343F" w14:textId="77777777" w:rsidTr="0096659F">
        <w:tc>
          <w:tcPr>
            <w:tcW w:w="1413" w:type="dxa"/>
          </w:tcPr>
          <w:p w14:paraId="56E45498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2693" w:type="dxa"/>
          </w:tcPr>
          <w:p w14:paraId="108E3984" w14:textId="77777777" w:rsidR="00F305B8" w:rsidRPr="00770443" w:rsidRDefault="00F305B8" w:rsidP="008F0E5F">
            <w:pPr>
              <w:pStyle w:val="Tabulkatext"/>
              <w:keepNext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1418" w:type="dxa"/>
          </w:tcPr>
          <w:p w14:paraId="3B413ED1" w14:textId="77777777" w:rsidR="00F305B8" w:rsidRPr="00770443" w:rsidRDefault="00F305B8" w:rsidP="00F65B94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</w:rPr>
            </w:pPr>
            <w:r w:rsidRPr="00770443">
              <w:rPr>
                <w:rFonts w:ascii="Calibri" w:hAnsi="Calibri" w:cs="Calibri"/>
                <w:sz w:val="22"/>
                <w:highlight w:val="lightGray"/>
              </w:rPr>
              <w:t>…</w:t>
            </w:r>
          </w:p>
        </w:tc>
        <w:tc>
          <w:tcPr>
            <w:tcW w:w="3536" w:type="dxa"/>
          </w:tcPr>
          <w:p w14:paraId="5113A4CD" w14:textId="148F2FDE" w:rsidR="00F305B8" w:rsidRPr="00770443" w:rsidRDefault="00F305B8" w:rsidP="008F0E5F">
            <w:pPr>
              <w:pStyle w:val="Tabulkatext"/>
              <w:keepNext/>
              <w:jc w:val="center"/>
              <w:rPr>
                <w:rFonts w:ascii="Calibri" w:hAnsi="Calibri" w:cs="Calibri"/>
                <w:sz w:val="22"/>
                <w:vertAlign w:val="superscript"/>
              </w:rPr>
            </w:pPr>
            <w:r w:rsidRPr="00770443">
              <w:rPr>
                <w:rFonts w:ascii="Calibri" w:hAnsi="Calibri" w:cs="Calibri"/>
                <w:sz w:val="22"/>
              </w:rPr>
              <w:t>výstup/výsledek</w:t>
            </w:r>
          </w:p>
        </w:tc>
      </w:tr>
    </w:tbl>
    <w:p w14:paraId="1D91960B" w14:textId="514B0DD4" w:rsidR="00F305B8" w:rsidRPr="00BD4751" w:rsidRDefault="00F305B8" w:rsidP="0096659F">
      <w:pPr>
        <w:spacing w:after="0"/>
        <w:ind w:left="284" w:hanging="284"/>
        <w:rPr>
          <w:rFonts w:cs="Calibri"/>
          <w:i/>
        </w:rPr>
      </w:pPr>
      <w:r w:rsidRPr="00C556E9">
        <w:rPr>
          <w:rFonts w:cs="Calibri"/>
          <w:i/>
          <w:vertAlign w:val="superscript"/>
        </w:rPr>
        <w:t>*</w:t>
      </w:r>
      <w:r w:rsidR="00C556E9" w:rsidRPr="00C556E9">
        <w:rPr>
          <w:rFonts w:cs="Calibri"/>
          <w:i/>
          <w:vertAlign w:val="superscript"/>
        </w:rPr>
        <w:t xml:space="preserve">) </w:t>
      </w:r>
      <w:r w:rsidR="0096659F">
        <w:rPr>
          <w:rFonts w:cs="Calibri"/>
          <w:i/>
          <w:vertAlign w:val="superscript"/>
        </w:rPr>
        <w:tab/>
      </w:r>
      <w:r w:rsidRPr="00770443">
        <w:rPr>
          <w:rFonts w:cs="Calibri"/>
          <w:i/>
        </w:rPr>
        <w:t>Nehodící se bude odstraněno</w:t>
      </w:r>
      <w:r w:rsidR="002C0521">
        <w:rPr>
          <w:rFonts w:cs="Calibri"/>
          <w:i/>
        </w:rPr>
        <w:t>.</w:t>
      </w:r>
    </w:p>
    <w:p w14:paraId="7535DA51" w14:textId="77777777" w:rsidR="00F305B8" w:rsidRPr="00BD4751" w:rsidRDefault="00F305B8" w:rsidP="004B13FF">
      <w:pPr>
        <w:pStyle w:val="Nadpis2"/>
        <w:keepNext/>
        <w:numPr>
          <w:ilvl w:val="0"/>
          <w:numId w:val="6"/>
        </w:numPr>
        <w:tabs>
          <w:tab w:val="clear" w:pos="5790"/>
        </w:tabs>
        <w:ind w:firstLine="0"/>
      </w:pPr>
      <w:r w:rsidRPr="00BD4751">
        <w:t>Rozpočet</w:t>
      </w:r>
      <w:r w:rsidRPr="00BD4751">
        <w:rPr>
          <w:vertAlign w:val="superscript"/>
        </w:rPr>
        <w:footnoteReference w:id="9"/>
      </w:r>
    </w:p>
    <w:p w14:paraId="2516D25C" w14:textId="613BEE54" w:rsidR="00E82973" w:rsidRPr="00E82973" w:rsidRDefault="00E82973" w:rsidP="00E82973">
      <w:pPr>
        <w:rPr>
          <w:rFonts w:eastAsia="Times New Roman"/>
        </w:rPr>
      </w:pPr>
      <w:r w:rsidRPr="00E82973">
        <w:rPr>
          <w:rFonts w:eastAsia="Times New Roman"/>
        </w:rPr>
        <w:t>Změny rozpočtu nad rámec +/- 15 % na úrovni každé kapitoly označené zatržítkem ve sloupci „***“ v</w:t>
      </w:r>
      <w:r>
        <w:rPr>
          <w:rFonts w:eastAsia="Times New Roman"/>
        </w:rPr>
        <w:t> </w:t>
      </w:r>
      <w:r w:rsidRPr="00E82973">
        <w:rPr>
          <w:rFonts w:eastAsia="Times New Roman"/>
        </w:rPr>
        <w:t>níže uvedené tabulce podléhají změně s dopadem do právního aktu.</w:t>
      </w:r>
    </w:p>
    <w:p w14:paraId="7790D4FB" w14:textId="2564EA0E" w:rsidR="00E82973" w:rsidRDefault="00665BF9" w:rsidP="00FC7D8E">
      <w:pPr>
        <w:rPr>
          <w:rFonts w:eastAsia="Times New Roman"/>
        </w:rPr>
      </w:pPr>
      <w:r>
        <w:rPr>
          <w:rFonts w:eastAsia="Times New Roman"/>
        </w:rPr>
        <w:t>Převod z</w:t>
      </w:r>
      <w:r w:rsidR="005C4889">
        <w:rPr>
          <w:rFonts w:eastAsia="Times New Roman"/>
        </w:rPr>
        <w:t xml:space="preserve"> </w:t>
      </w:r>
      <w:r>
        <w:rPr>
          <w:rFonts w:eastAsia="Times New Roman"/>
        </w:rPr>
        <w:t>kapitoly 1.1.2.1</w:t>
      </w:r>
      <w:r w:rsidRPr="00665BF9">
        <w:rPr>
          <w:rFonts w:eastAsia="Times New Roman" w:cstheme="minorHAnsi"/>
          <w:b/>
          <w:bCs/>
          <w:lang w:eastAsia="cs-CZ"/>
        </w:rPr>
        <w:t xml:space="preserve"> </w:t>
      </w:r>
      <w:r w:rsidRPr="00665BF9">
        <w:rPr>
          <w:rFonts w:eastAsia="Times New Roman"/>
        </w:rPr>
        <w:t>Jednotkové náklady – implementace návratových grantů (Aktivita 3)</w:t>
      </w:r>
      <w:r>
        <w:rPr>
          <w:rFonts w:eastAsia="Times New Roman"/>
        </w:rPr>
        <w:t xml:space="preserve"> do</w:t>
      </w:r>
      <w:r w:rsidR="005C4889">
        <w:rPr>
          <w:rFonts w:eastAsia="Times New Roman"/>
        </w:rPr>
        <w:t> </w:t>
      </w:r>
      <w:r>
        <w:rPr>
          <w:rFonts w:eastAsia="Times New Roman"/>
        </w:rPr>
        <w:t>ostatních kapitol rozpočtu projektu není umožněn.</w:t>
      </w:r>
    </w:p>
    <w:p w14:paraId="1BE9C7BA" w14:textId="19F9269E" w:rsidR="00F305B8" w:rsidRPr="00FC7D8E" w:rsidRDefault="00F305B8" w:rsidP="00FC7D8E">
      <w:pPr>
        <w:rPr>
          <w:rFonts w:cs="Calibri"/>
        </w:rPr>
      </w:pPr>
      <w:r w:rsidRPr="00FC7D8E">
        <w:rPr>
          <w:rFonts w:cs="Calibri"/>
          <w:i/>
        </w:rPr>
        <w:t>Rozpočet je do ZPP uváděn ve zkrácené verzi.</w:t>
      </w:r>
    </w:p>
    <w:tbl>
      <w:tblPr>
        <w:tblStyle w:val="Mkatabulky"/>
        <w:tblW w:w="5004" w:type="pct"/>
        <w:tblLook w:val="04A0" w:firstRow="1" w:lastRow="0" w:firstColumn="1" w:lastColumn="0" w:noHBand="0" w:noVBand="1"/>
      </w:tblPr>
      <w:tblGrid>
        <w:gridCol w:w="1462"/>
        <w:gridCol w:w="5196"/>
        <w:gridCol w:w="1559"/>
        <w:gridCol w:w="850"/>
      </w:tblGrid>
      <w:tr w:rsidR="003D3F32" w:rsidRPr="00F267E6" w14:paraId="03C062DD" w14:textId="77777777" w:rsidTr="0096659F">
        <w:trPr>
          <w:tblHeader/>
        </w:trPr>
        <w:tc>
          <w:tcPr>
            <w:tcW w:w="1462" w:type="dxa"/>
          </w:tcPr>
          <w:p w14:paraId="63F1208F" w14:textId="2A469E8B" w:rsidR="003D3F32" w:rsidRPr="00EA395D" w:rsidRDefault="003D3F32" w:rsidP="00F65B94">
            <w:pPr>
              <w:pStyle w:val="Tabulkazhlav"/>
              <w:keepNext/>
              <w:jc w:val="center"/>
              <w:rPr>
                <w:rFonts w:cstheme="minorHAnsi"/>
                <w:sz w:val="22"/>
              </w:rPr>
            </w:pPr>
            <w:r w:rsidRPr="00EA395D">
              <w:rPr>
                <w:rFonts w:cstheme="minorHAnsi"/>
                <w:sz w:val="22"/>
              </w:rPr>
              <w:t>Kód</w:t>
            </w:r>
          </w:p>
        </w:tc>
        <w:tc>
          <w:tcPr>
            <w:tcW w:w="5196" w:type="dxa"/>
          </w:tcPr>
          <w:p w14:paraId="347B0B61" w14:textId="723D0A4B" w:rsidR="003D3F32" w:rsidRPr="00EA395D" w:rsidRDefault="003D3F32" w:rsidP="00F65B94">
            <w:pPr>
              <w:pStyle w:val="Tabulkazhlav"/>
              <w:keepNext/>
              <w:jc w:val="center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color w:val="auto"/>
                <w:sz w:val="22"/>
              </w:rPr>
              <w:t>Název</w:t>
            </w:r>
          </w:p>
        </w:tc>
        <w:tc>
          <w:tcPr>
            <w:tcW w:w="1559" w:type="dxa"/>
          </w:tcPr>
          <w:p w14:paraId="6F70649F" w14:textId="77777777" w:rsidR="003D3F32" w:rsidRPr="00EA395D" w:rsidRDefault="003D3F32" w:rsidP="00F65B94">
            <w:pPr>
              <w:pStyle w:val="Tabulkazhlav"/>
              <w:keepNext/>
              <w:jc w:val="center"/>
              <w:rPr>
                <w:rFonts w:cstheme="minorHAnsi"/>
                <w:color w:val="auto"/>
                <w:sz w:val="22"/>
              </w:rPr>
            </w:pPr>
            <w:r w:rsidRPr="00EA395D">
              <w:rPr>
                <w:rFonts w:cstheme="minorHAnsi"/>
                <w:bCs/>
                <w:color w:val="auto"/>
                <w:sz w:val="22"/>
              </w:rPr>
              <w:t>Částka v</w:t>
            </w:r>
            <w:r>
              <w:rPr>
                <w:rFonts w:cstheme="minorHAnsi"/>
                <w:bCs/>
                <w:color w:val="auto"/>
                <w:sz w:val="22"/>
              </w:rPr>
              <w:t> </w:t>
            </w:r>
            <w:r w:rsidRPr="00EA395D">
              <w:rPr>
                <w:rFonts w:cstheme="minorHAnsi"/>
                <w:bCs/>
                <w:color w:val="auto"/>
                <w:sz w:val="22"/>
              </w:rPr>
              <w:t>Kč</w:t>
            </w:r>
          </w:p>
        </w:tc>
        <w:tc>
          <w:tcPr>
            <w:tcW w:w="850" w:type="dxa"/>
          </w:tcPr>
          <w:p w14:paraId="45D1268A" w14:textId="77777777" w:rsidR="003D3F32" w:rsidRPr="00F267E6" w:rsidRDefault="003D3F32" w:rsidP="00F65B94">
            <w:pPr>
              <w:pStyle w:val="Tabulkazhlav"/>
              <w:keepNext/>
              <w:jc w:val="center"/>
              <w:rPr>
                <w:rFonts w:cstheme="minorHAnsi"/>
                <w:bCs/>
                <w:color w:val="auto"/>
                <w:sz w:val="22"/>
              </w:rPr>
            </w:pPr>
            <w:r>
              <w:rPr>
                <w:rFonts w:cstheme="minorHAnsi"/>
                <w:bCs/>
                <w:color w:val="auto"/>
                <w:sz w:val="22"/>
              </w:rPr>
              <w:t>***</w:t>
            </w:r>
          </w:p>
        </w:tc>
      </w:tr>
      <w:tr w:rsidR="003D3F32" w:rsidRPr="00EA395D" w14:paraId="62815C81" w14:textId="77777777" w:rsidTr="0096659F">
        <w:tc>
          <w:tcPr>
            <w:tcW w:w="1462" w:type="dxa"/>
          </w:tcPr>
          <w:p w14:paraId="069D6CE3" w14:textId="77777777" w:rsidR="003D3F32" w:rsidRPr="00EA395D" w:rsidRDefault="003D3F32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</w:t>
            </w:r>
          </w:p>
        </w:tc>
        <w:tc>
          <w:tcPr>
            <w:tcW w:w="5196" w:type="dxa"/>
          </w:tcPr>
          <w:p w14:paraId="60670792" w14:textId="77777777" w:rsidR="003D3F32" w:rsidRPr="00EA395D" w:rsidRDefault="003D3F32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Celkové způsobilé výdaje</w:t>
            </w:r>
          </w:p>
        </w:tc>
        <w:tc>
          <w:tcPr>
            <w:tcW w:w="1559" w:type="dxa"/>
          </w:tcPr>
          <w:p w14:paraId="6B9A5456" w14:textId="77777777" w:rsidR="003D3F32" w:rsidRPr="00EA395D" w:rsidRDefault="003D3F32" w:rsidP="00F65B94">
            <w:pPr>
              <w:pStyle w:val="Tabulkatext"/>
              <w:widowControl w:val="0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850" w:type="dxa"/>
          </w:tcPr>
          <w:p w14:paraId="1AA26174" w14:textId="77777777" w:rsidR="003D3F32" w:rsidRPr="00EA395D" w:rsidRDefault="003D3F32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</w:rPr>
            </w:pPr>
          </w:p>
        </w:tc>
      </w:tr>
      <w:tr w:rsidR="003D3F32" w:rsidRPr="00EA395D" w14:paraId="21DFF901" w14:textId="77777777" w:rsidTr="0096659F">
        <w:tc>
          <w:tcPr>
            <w:tcW w:w="1462" w:type="dxa"/>
          </w:tcPr>
          <w:p w14:paraId="17C6B801" w14:textId="77777777" w:rsidR="003D3F32" w:rsidRPr="00EA395D" w:rsidRDefault="003D3F32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</w:t>
            </w:r>
          </w:p>
        </w:tc>
        <w:tc>
          <w:tcPr>
            <w:tcW w:w="5196" w:type="dxa"/>
          </w:tcPr>
          <w:p w14:paraId="3D8DAA7F" w14:textId="77777777" w:rsidR="003D3F32" w:rsidRPr="00EA395D" w:rsidRDefault="003D3F32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tvořící základ pro výpočet paušálních nákladů</w:t>
            </w:r>
          </w:p>
        </w:tc>
        <w:tc>
          <w:tcPr>
            <w:tcW w:w="1559" w:type="dxa"/>
          </w:tcPr>
          <w:p w14:paraId="7ED2A373" w14:textId="77777777" w:rsidR="003D3F32" w:rsidRPr="00EA395D" w:rsidRDefault="003D3F32" w:rsidP="00F65B94">
            <w:pPr>
              <w:pStyle w:val="Tabulkatext"/>
              <w:widowControl w:val="0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850" w:type="dxa"/>
          </w:tcPr>
          <w:p w14:paraId="71D56065" w14:textId="77777777" w:rsidR="003D3F32" w:rsidRPr="00EA395D" w:rsidRDefault="003D3F32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</w:rPr>
            </w:pPr>
          </w:p>
        </w:tc>
      </w:tr>
      <w:tr w:rsidR="003D3F32" w:rsidRPr="00EA395D" w14:paraId="0A6B26BB" w14:textId="77777777" w:rsidTr="0096659F">
        <w:tc>
          <w:tcPr>
            <w:tcW w:w="1462" w:type="dxa"/>
          </w:tcPr>
          <w:p w14:paraId="28606E03" w14:textId="77777777" w:rsidR="003D3F32" w:rsidRPr="00EA395D" w:rsidRDefault="003D3F32" w:rsidP="00BF5DD9">
            <w:pPr>
              <w:pStyle w:val="Tabulkatext"/>
              <w:widowControl w:val="0"/>
              <w:rPr>
                <w:rFonts w:cstheme="minorHAnsi"/>
                <w:sz w:val="22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</w:t>
            </w:r>
          </w:p>
        </w:tc>
        <w:tc>
          <w:tcPr>
            <w:tcW w:w="5196" w:type="dxa"/>
          </w:tcPr>
          <w:p w14:paraId="166929FB" w14:textId="77777777" w:rsidR="003D3F32" w:rsidRPr="00EA395D" w:rsidRDefault="003D3F32" w:rsidP="00BF5DD9">
            <w:pPr>
              <w:pStyle w:val="Tabulkatext"/>
              <w:widowControl w:val="0"/>
              <w:rPr>
                <w:rFonts w:cstheme="minorHAnsi"/>
                <w:b/>
                <w:bCs/>
                <w:sz w:val="22"/>
              </w:rPr>
            </w:pPr>
            <w:r w:rsidRPr="00EA395D">
              <w:rPr>
                <w:rFonts w:cstheme="minorHAnsi"/>
                <w:b/>
                <w:bCs/>
                <w:sz w:val="22"/>
              </w:rPr>
              <w:t>Přímé výdaje</w:t>
            </w:r>
          </w:p>
        </w:tc>
        <w:tc>
          <w:tcPr>
            <w:tcW w:w="1559" w:type="dxa"/>
          </w:tcPr>
          <w:p w14:paraId="5B7C4132" w14:textId="77777777" w:rsidR="003D3F32" w:rsidRPr="00EA395D" w:rsidRDefault="003D3F32" w:rsidP="00F65B94">
            <w:pPr>
              <w:pStyle w:val="Tabulkatext"/>
              <w:widowControl w:val="0"/>
              <w:jc w:val="right"/>
              <w:rPr>
                <w:rFonts w:cstheme="minorHAnsi"/>
                <w:sz w:val="22"/>
              </w:rPr>
            </w:pPr>
          </w:p>
        </w:tc>
        <w:tc>
          <w:tcPr>
            <w:tcW w:w="850" w:type="dxa"/>
          </w:tcPr>
          <w:p w14:paraId="48DE1226" w14:textId="77777777" w:rsidR="003D3F32" w:rsidRPr="00EA395D" w:rsidRDefault="003D3F32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</w:rPr>
            </w:pPr>
          </w:p>
        </w:tc>
      </w:tr>
      <w:tr w:rsidR="003D3F32" w:rsidRPr="00EA395D" w:rsidDel="00652C0B" w14:paraId="39BB2868" w14:textId="77777777" w:rsidTr="0096659F">
        <w:tc>
          <w:tcPr>
            <w:tcW w:w="1462" w:type="dxa"/>
          </w:tcPr>
          <w:p w14:paraId="11D97555" w14:textId="19BDD951" w:rsidR="003D3F32" w:rsidRPr="00EA395D" w:rsidRDefault="003D3F32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1.1.1.1.</w:t>
            </w:r>
            <w:r w:rsidR="009115E5">
              <w:rPr>
                <w:rFonts w:eastAsia="Times New Roman" w:cstheme="minorHAnsi"/>
                <w:b/>
                <w:bCs/>
                <w:sz w:val="22"/>
                <w:lang w:eastAsia="cs-CZ"/>
              </w:rPr>
              <w:t>1</w:t>
            </w:r>
          </w:p>
        </w:tc>
        <w:tc>
          <w:tcPr>
            <w:tcW w:w="5196" w:type="dxa"/>
          </w:tcPr>
          <w:p w14:paraId="5E77025D" w14:textId="77777777" w:rsidR="003D3F32" w:rsidRPr="00EA395D" w:rsidRDefault="003D3F32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Přímé výdaje – neinvestiční </w:t>
            </w:r>
          </w:p>
        </w:tc>
        <w:tc>
          <w:tcPr>
            <w:tcW w:w="1559" w:type="dxa"/>
          </w:tcPr>
          <w:p w14:paraId="16A28460" w14:textId="77777777" w:rsidR="003D3F32" w:rsidRPr="00EA395D" w:rsidDel="00652C0B" w:rsidRDefault="003D3F32" w:rsidP="00F65B94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50" w:type="dxa"/>
          </w:tcPr>
          <w:p w14:paraId="73BD2180" w14:textId="77777777" w:rsidR="003D3F32" w:rsidRPr="00EA395D" w:rsidDel="00652C0B" w:rsidRDefault="003D3F32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3D3F32" w:rsidRPr="00F267E6" w:rsidDel="00652C0B" w14:paraId="4120F222" w14:textId="77777777" w:rsidTr="0096659F">
        <w:tc>
          <w:tcPr>
            <w:tcW w:w="1462" w:type="dxa"/>
          </w:tcPr>
          <w:p w14:paraId="5C09EFD4" w14:textId="689C95D4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9115E5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.1</w:t>
            </w:r>
          </w:p>
        </w:tc>
        <w:tc>
          <w:tcPr>
            <w:tcW w:w="5196" w:type="dxa"/>
          </w:tcPr>
          <w:p w14:paraId="04426DE3" w14:textId="77777777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Hmotný majetek</w:t>
            </w:r>
          </w:p>
        </w:tc>
        <w:tc>
          <w:tcPr>
            <w:tcW w:w="1559" w:type="dxa"/>
          </w:tcPr>
          <w:p w14:paraId="037E5717" w14:textId="77777777" w:rsidR="003D3F32" w:rsidRPr="00F267E6" w:rsidDel="00652C0B" w:rsidRDefault="003D3F32" w:rsidP="00F65B94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50" w:type="dxa"/>
          </w:tcPr>
          <w:p w14:paraId="20DFB49F" w14:textId="77777777" w:rsidR="003D3F32" w:rsidRPr="00F267E6" w:rsidDel="00652C0B" w:rsidRDefault="003D3F32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3D3F32" w:rsidRPr="00F267E6" w:rsidDel="00652C0B" w14:paraId="3ACC93DF" w14:textId="77777777" w:rsidTr="0096659F">
        <w:tc>
          <w:tcPr>
            <w:tcW w:w="1462" w:type="dxa"/>
          </w:tcPr>
          <w:p w14:paraId="27F5C8F0" w14:textId="078E83C3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lastRenderedPageBreak/>
              <w:t>1.1.1.1.</w:t>
            </w:r>
            <w:r w:rsidR="009115E5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.2</w:t>
            </w:r>
          </w:p>
        </w:tc>
        <w:tc>
          <w:tcPr>
            <w:tcW w:w="5196" w:type="dxa"/>
          </w:tcPr>
          <w:p w14:paraId="1B2A56B6" w14:textId="77777777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Nehmotný majetek</w:t>
            </w:r>
          </w:p>
        </w:tc>
        <w:tc>
          <w:tcPr>
            <w:tcW w:w="1559" w:type="dxa"/>
          </w:tcPr>
          <w:p w14:paraId="424D4E72" w14:textId="77777777" w:rsidR="003D3F32" w:rsidRPr="00F267E6" w:rsidDel="00652C0B" w:rsidRDefault="003D3F32" w:rsidP="00F65B94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50" w:type="dxa"/>
          </w:tcPr>
          <w:p w14:paraId="2AC74C73" w14:textId="77777777" w:rsidR="003D3F32" w:rsidRPr="00F267E6" w:rsidDel="00652C0B" w:rsidRDefault="003D3F32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3D3F32" w:rsidRPr="00F267E6" w:rsidDel="00652C0B" w14:paraId="301AAA6C" w14:textId="77777777" w:rsidTr="0096659F">
        <w:tc>
          <w:tcPr>
            <w:tcW w:w="1462" w:type="dxa"/>
          </w:tcPr>
          <w:p w14:paraId="55519F69" w14:textId="13AA1B1A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9115E5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.3</w:t>
            </w:r>
          </w:p>
        </w:tc>
        <w:tc>
          <w:tcPr>
            <w:tcW w:w="5196" w:type="dxa"/>
          </w:tcPr>
          <w:p w14:paraId="375D7156" w14:textId="77777777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Odpisy</w:t>
            </w:r>
          </w:p>
        </w:tc>
        <w:tc>
          <w:tcPr>
            <w:tcW w:w="1559" w:type="dxa"/>
          </w:tcPr>
          <w:p w14:paraId="16D1C331" w14:textId="77777777" w:rsidR="003D3F32" w:rsidRPr="00F267E6" w:rsidDel="00652C0B" w:rsidRDefault="003D3F32" w:rsidP="00F65B94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50" w:type="dxa"/>
          </w:tcPr>
          <w:p w14:paraId="0839E534" w14:textId="77777777" w:rsidR="003D3F32" w:rsidRPr="00F267E6" w:rsidDel="00652C0B" w:rsidRDefault="003D3F32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3D3F32" w:rsidRPr="00F267E6" w:rsidDel="00652C0B" w14:paraId="64601733" w14:textId="77777777" w:rsidTr="0096659F">
        <w:tc>
          <w:tcPr>
            <w:tcW w:w="1462" w:type="dxa"/>
          </w:tcPr>
          <w:p w14:paraId="0A08C35C" w14:textId="14DAC82A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9115E5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.4</w:t>
            </w:r>
          </w:p>
        </w:tc>
        <w:tc>
          <w:tcPr>
            <w:tcW w:w="5196" w:type="dxa"/>
          </w:tcPr>
          <w:p w14:paraId="0D3B56E6" w14:textId="77777777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cstheme="minorHAnsi"/>
                <w:sz w:val="22"/>
              </w:rPr>
              <w:t>Osobní výdaje – odborný tým</w:t>
            </w:r>
          </w:p>
        </w:tc>
        <w:tc>
          <w:tcPr>
            <w:tcW w:w="1559" w:type="dxa"/>
          </w:tcPr>
          <w:p w14:paraId="38816B0E" w14:textId="77777777" w:rsidR="003D3F32" w:rsidRPr="00F267E6" w:rsidDel="00652C0B" w:rsidRDefault="003D3F32" w:rsidP="00F65B94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50" w:type="dxa"/>
          </w:tcPr>
          <w:p w14:paraId="57F4C616" w14:textId="77777777" w:rsidR="003D3F32" w:rsidRPr="00F267E6" w:rsidDel="00652C0B" w:rsidRDefault="003D3F32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3D3F32" w:rsidRPr="00F267E6" w:rsidDel="00652C0B" w14:paraId="22A15FDC" w14:textId="77777777" w:rsidTr="0096659F">
        <w:tc>
          <w:tcPr>
            <w:tcW w:w="1462" w:type="dxa"/>
          </w:tcPr>
          <w:p w14:paraId="5566FE3B" w14:textId="64039FFF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9115E5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.5</w:t>
            </w:r>
          </w:p>
        </w:tc>
        <w:tc>
          <w:tcPr>
            <w:tcW w:w="5196" w:type="dxa"/>
          </w:tcPr>
          <w:p w14:paraId="6B33FD31" w14:textId="77777777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Autorské příspěvky</w:t>
            </w:r>
          </w:p>
        </w:tc>
        <w:tc>
          <w:tcPr>
            <w:tcW w:w="1559" w:type="dxa"/>
          </w:tcPr>
          <w:p w14:paraId="44851FE3" w14:textId="77777777" w:rsidR="003D3F32" w:rsidRPr="00F267E6" w:rsidDel="00652C0B" w:rsidRDefault="003D3F32" w:rsidP="00F65B94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50" w:type="dxa"/>
          </w:tcPr>
          <w:p w14:paraId="42250E46" w14:textId="77777777" w:rsidR="003D3F32" w:rsidRPr="00F267E6" w:rsidDel="00652C0B" w:rsidRDefault="003D3F32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D444E2" w:rsidRPr="00F267E6" w:rsidDel="00652C0B" w14:paraId="11EB7B3E" w14:textId="77777777" w:rsidTr="0096659F">
        <w:tc>
          <w:tcPr>
            <w:tcW w:w="1462" w:type="dxa"/>
          </w:tcPr>
          <w:p w14:paraId="5E26FCA1" w14:textId="3D1A183D" w:rsidR="00D444E2" w:rsidRPr="00A34100" w:rsidRDefault="00D444E2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</w:t>
            </w:r>
            <w:r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.6</w:t>
            </w:r>
          </w:p>
        </w:tc>
        <w:tc>
          <w:tcPr>
            <w:tcW w:w="5196" w:type="dxa"/>
          </w:tcPr>
          <w:p w14:paraId="18B68654" w14:textId="151FC2CA" w:rsidR="00D444E2" w:rsidRPr="00A34100" w:rsidRDefault="00D444E2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>
              <w:rPr>
                <w:rFonts w:eastAsia="Times New Roman" w:cstheme="minorHAnsi"/>
                <w:sz w:val="22"/>
                <w:lang w:eastAsia="cs-CZ"/>
              </w:rPr>
              <w:t>Cestovní náhrady</w:t>
            </w:r>
          </w:p>
        </w:tc>
        <w:tc>
          <w:tcPr>
            <w:tcW w:w="1559" w:type="dxa"/>
          </w:tcPr>
          <w:p w14:paraId="2D4C1630" w14:textId="77777777" w:rsidR="00D444E2" w:rsidRPr="00F267E6" w:rsidDel="00652C0B" w:rsidRDefault="00D444E2" w:rsidP="00D97F3A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50" w:type="dxa"/>
          </w:tcPr>
          <w:p w14:paraId="5AFC08D3" w14:textId="79A0E133" w:rsidR="00D444E2" w:rsidRDefault="00D872C7" w:rsidP="00F65B94">
            <w:pPr>
              <w:pStyle w:val="Tabulkatext"/>
              <w:widowControl w:val="0"/>
              <w:jc w:val="center"/>
              <w:rPr>
                <w:rStyle w:val="ui-provider"/>
                <w:rFonts w:ascii="Segoe UI Symbol" w:hAnsi="Segoe UI Symbol" w:cs="Segoe UI Symbol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3D3F32" w:rsidRPr="00F267E6" w:rsidDel="00652C0B" w14:paraId="2374E181" w14:textId="77777777" w:rsidTr="0096659F">
        <w:tc>
          <w:tcPr>
            <w:tcW w:w="1462" w:type="dxa"/>
          </w:tcPr>
          <w:p w14:paraId="23E738E4" w14:textId="5BEFE44A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9115E5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</w:t>
            </w:r>
            <w:r w:rsidR="00D444E2">
              <w:rPr>
                <w:rFonts w:eastAsia="Times New Roman" w:cstheme="minorHAnsi"/>
                <w:sz w:val="22"/>
                <w:lang w:eastAsia="cs-CZ"/>
              </w:rPr>
              <w:t>7</w:t>
            </w:r>
          </w:p>
        </w:tc>
        <w:tc>
          <w:tcPr>
            <w:tcW w:w="5196" w:type="dxa"/>
          </w:tcPr>
          <w:p w14:paraId="787E3E9E" w14:textId="77777777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Nákup služeb</w:t>
            </w:r>
          </w:p>
        </w:tc>
        <w:tc>
          <w:tcPr>
            <w:tcW w:w="1559" w:type="dxa"/>
          </w:tcPr>
          <w:p w14:paraId="1E3531A8" w14:textId="77777777" w:rsidR="003D3F32" w:rsidRPr="00F267E6" w:rsidDel="00652C0B" w:rsidRDefault="003D3F32" w:rsidP="00F65B94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50" w:type="dxa"/>
          </w:tcPr>
          <w:p w14:paraId="79BEB00D" w14:textId="77777777" w:rsidR="003D3F32" w:rsidRPr="00F267E6" w:rsidDel="00652C0B" w:rsidRDefault="003D3F32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3D3F32" w:rsidRPr="00F267E6" w:rsidDel="00652C0B" w14:paraId="11B71F32" w14:textId="77777777" w:rsidTr="0096659F">
        <w:tc>
          <w:tcPr>
            <w:tcW w:w="1462" w:type="dxa"/>
          </w:tcPr>
          <w:p w14:paraId="55FBD23A" w14:textId="6A3C5B71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1.1.1.1.</w:t>
            </w:r>
            <w:r w:rsidR="009115E5">
              <w:rPr>
                <w:rFonts w:eastAsia="Times New Roman" w:cstheme="minorHAnsi"/>
                <w:sz w:val="22"/>
                <w:lang w:eastAsia="cs-CZ"/>
              </w:rPr>
              <w:t>1</w:t>
            </w:r>
            <w:r w:rsidRPr="00A34100">
              <w:rPr>
                <w:rFonts w:eastAsia="Times New Roman" w:cstheme="minorHAnsi"/>
                <w:sz w:val="22"/>
                <w:lang w:eastAsia="cs-CZ"/>
              </w:rPr>
              <w:t>.</w:t>
            </w:r>
            <w:r w:rsidR="00D444E2">
              <w:rPr>
                <w:rFonts w:eastAsia="Times New Roman" w:cstheme="minorHAnsi"/>
                <w:sz w:val="22"/>
                <w:lang w:eastAsia="cs-CZ"/>
              </w:rPr>
              <w:t>8</w:t>
            </w:r>
          </w:p>
        </w:tc>
        <w:tc>
          <w:tcPr>
            <w:tcW w:w="5196" w:type="dxa"/>
          </w:tcPr>
          <w:p w14:paraId="38BCD609" w14:textId="77777777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sz w:val="22"/>
                <w:lang w:eastAsia="cs-CZ"/>
              </w:rPr>
              <w:t>Přímá podpora</w:t>
            </w:r>
          </w:p>
        </w:tc>
        <w:tc>
          <w:tcPr>
            <w:tcW w:w="1559" w:type="dxa"/>
          </w:tcPr>
          <w:p w14:paraId="3F6BDE60" w14:textId="77777777" w:rsidR="003D3F32" w:rsidRPr="00F267E6" w:rsidDel="00652C0B" w:rsidRDefault="003D3F32" w:rsidP="00F65B94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yellow"/>
              </w:rPr>
            </w:pPr>
          </w:p>
        </w:tc>
        <w:tc>
          <w:tcPr>
            <w:tcW w:w="850" w:type="dxa"/>
          </w:tcPr>
          <w:p w14:paraId="283EF12D" w14:textId="77777777" w:rsidR="003D3F32" w:rsidRPr="00F267E6" w:rsidDel="00652C0B" w:rsidRDefault="003D3F32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yellow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3D3F32" w:rsidRPr="00EA395D" w:rsidDel="00652C0B" w14:paraId="19E3B9EE" w14:textId="77777777" w:rsidTr="0096659F">
        <w:tc>
          <w:tcPr>
            <w:tcW w:w="1462" w:type="dxa"/>
          </w:tcPr>
          <w:p w14:paraId="39347E75" w14:textId="77777777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1.1.1.2</w:t>
            </w:r>
          </w:p>
        </w:tc>
        <w:tc>
          <w:tcPr>
            <w:tcW w:w="5196" w:type="dxa"/>
          </w:tcPr>
          <w:p w14:paraId="2DE4184F" w14:textId="77777777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Jednorázové částky (neinvestiční výdaje)</w:t>
            </w:r>
          </w:p>
        </w:tc>
        <w:tc>
          <w:tcPr>
            <w:tcW w:w="1559" w:type="dxa"/>
          </w:tcPr>
          <w:p w14:paraId="22856552" w14:textId="77777777" w:rsidR="003D3F32" w:rsidRPr="00EA395D" w:rsidDel="00652C0B" w:rsidRDefault="003D3F32" w:rsidP="00F65B94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50" w:type="dxa"/>
          </w:tcPr>
          <w:p w14:paraId="728CAD5D" w14:textId="77777777" w:rsidR="003D3F32" w:rsidRPr="00EA395D" w:rsidDel="00652C0B" w:rsidRDefault="003D3F32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3D3F32" w:rsidRPr="00EA395D" w:rsidDel="00652C0B" w14:paraId="2AC3F9C6" w14:textId="77777777" w:rsidTr="0096659F">
        <w:tc>
          <w:tcPr>
            <w:tcW w:w="1462" w:type="dxa"/>
          </w:tcPr>
          <w:p w14:paraId="50609DBA" w14:textId="77777777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1.1.1.3</w:t>
            </w:r>
          </w:p>
        </w:tc>
        <w:tc>
          <w:tcPr>
            <w:tcW w:w="5196" w:type="dxa"/>
          </w:tcPr>
          <w:p w14:paraId="258FC03D" w14:textId="77777777" w:rsidR="003D3F32" w:rsidRPr="00A34100" w:rsidRDefault="003D3F32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A34100">
              <w:rPr>
                <w:rFonts w:eastAsia="Times New Roman" w:cstheme="minorHAnsi"/>
                <w:b/>
                <w:bCs/>
                <w:sz w:val="22"/>
                <w:lang w:eastAsia="cs-CZ"/>
              </w:rPr>
              <w:t>Jednotkové náklady (neinvestiční výdaje)</w:t>
            </w:r>
          </w:p>
        </w:tc>
        <w:tc>
          <w:tcPr>
            <w:tcW w:w="1559" w:type="dxa"/>
          </w:tcPr>
          <w:p w14:paraId="16CEAB92" w14:textId="77777777" w:rsidR="003D3F32" w:rsidRPr="00EA395D" w:rsidDel="00652C0B" w:rsidRDefault="003D3F32" w:rsidP="00F65B94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50" w:type="dxa"/>
          </w:tcPr>
          <w:p w14:paraId="1198B77D" w14:textId="77777777" w:rsidR="003D3F32" w:rsidRPr="00EA395D" w:rsidDel="00652C0B" w:rsidRDefault="003D3F32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3D3F32" w:rsidRPr="00EA395D" w:rsidDel="00652C0B" w14:paraId="64779852" w14:textId="77777777" w:rsidTr="0096659F">
        <w:tc>
          <w:tcPr>
            <w:tcW w:w="1462" w:type="dxa"/>
          </w:tcPr>
          <w:p w14:paraId="3B51DFB8" w14:textId="77777777" w:rsidR="003D3F32" w:rsidRPr="00EA395D" w:rsidRDefault="003D3F32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1.1.1.4</w:t>
            </w:r>
          </w:p>
        </w:tc>
        <w:tc>
          <w:tcPr>
            <w:tcW w:w="5196" w:type="dxa"/>
          </w:tcPr>
          <w:p w14:paraId="4F0077ED" w14:textId="77777777" w:rsidR="003D3F32" w:rsidRPr="00EA395D" w:rsidRDefault="003D3F32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Rezerva pro osobní výdaje 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(</w:t>
            </w: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neinvestiční výdaje)</w:t>
            </w:r>
          </w:p>
        </w:tc>
        <w:tc>
          <w:tcPr>
            <w:tcW w:w="1559" w:type="dxa"/>
          </w:tcPr>
          <w:p w14:paraId="60059005" w14:textId="77777777" w:rsidR="003D3F32" w:rsidRPr="00EA395D" w:rsidDel="00652C0B" w:rsidRDefault="003D3F32" w:rsidP="00F65B94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50" w:type="dxa"/>
          </w:tcPr>
          <w:p w14:paraId="5072F040" w14:textId="77777777" w:rsidR="003D3F32" w:rsidRPr="00EA395D" w:rsidDel="00652C0B" w:rsidRDefault="003D3F32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9115E5" w:rsidRPr="00EA395D" w:rsidDel="00652C0B" w14:paraId="20B1F1C0" w14:textId="77777777" w:rsidTr="0096659F">
        <w:tc>
          <w:tcPr>
            <w:tcW w:w="1462" w:type="dxa"/>
          </w:tcPr>
          <w:p w14:paraId="644506C5" w14:textId="3AB991EA" w:rsidR="009115E5" w:rsidRPr="00EA395D" w:rsidRDefault="009115E5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1.1.2</w:t>
            </w:r>
          </w:p>
        </w:tc>
        <w:tc>
          <w:tcPr>
            <w:tcW w:w="5196" w:type="dxa"/>
          </w:tcPr>
          <w:p w14:paraId="4721A635" w14:textId="495A436F" w:rsidR="009115E5" w:rsidRPr="00EA395D" w:rsidRDefault="009115E5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Výdaje netvořící základ pro výpočet paušálních nákladů</w:t>
            </w:r>
          </w:p>
        </w:tc>
        <w:tc>
          <w:tcPr>
            <w:tcW w:w="1559" w:type="dxa"/>
          </w:tcPr>
          <w:p w14:paraId="70F215A5" w14:textId="77777777" w:rsidR="009115E5" w:rsidRPr="00EA395D" w:rsidDel="00652C0B" w:rsidRDefault="009115E5" w:rsidP="00D97F3A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50" w:type="dxa"/>
          </w:tcPr>
          <w:p w14:paraId="12354558" w14:textId="77777777" w:rsidR="009115E5" w:rsidRPr="00EA395D" w:rsidDel="00652C0B" w:rsidRDefault="009115E5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  <w:tr w:rsidR="009115E5" w:rsidRPr="00EA395D" w:rsidDel="00652C0B" w14:paraId="3CC6E315" w14:textId="77777777" w:rsidTr="0096659F">
        <w:tc>
          <w:tcPr>
            <w:tcW w:w="1462" w:type="dxa"/>
          </w:tcPr>
          <w:p w14:paraId="1E33FAB7" w14:textId="5FA0A1A0" w:rsidR="009115E5" w:rsidRDefault="009115E5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1.1.2.1</w:t>
            </w:r>
          </w:p>
        </w:tc>
        <w:tc>
          <w:tcPr>
            <w:tcW w:w="5196" w:type="dxa"/>
          </w:tcPr>
          <w:p w14:paraId="4B25F9F9" w14:textId="70CA46B9" w:rsidR="009115E5" w:rsidRDefault="009115E5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Jednotkové náklady </w:t>
            </w:r>
            <w:r w:rsidR="00192EF0"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– implementace návratových grantů (Aktivita 3) 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>(neinvestiční výdaje)</w:t>
            </w:r>
          </w:p>
        </w:tc>
        <w:tc>
          <w:tcPr>
            <w:tcW w:w="1559" w:type="dxa"/>
          </w:tcPr>
          <w:p w14:paraId="0AF3A7D7" w14:textId="77777777" w:rsidR="009115E5" w:rsidRPr="00EA395D" w:rsidDel="00652C0B" w:rsidRDefault="009115E5" w:rsidP="00D97F3A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50" w:type="dxa"/>
          </w:tcPr>
          <w:p w14:paraId="407AA98A" w14:textId="46544426" w:rsidR="009115E5" w:rsidRPr="00EA395D" w:rsidDel="00652C0B" w:rsidRDefault="00192EF0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  <w:r>
              <w:rPr>
                <w:rStyle w:val="ui-provider"/>
                <w:rFonts w:ascii="Segoe UI Symbol" w:hAnsi="Segoe UI Symbol" w:cs="Segoe UI Symbol"/>
              </w:rPr>
              <w:t>✓</w:t>
            </w:r>
          </w:p>
        </w:tc>
      </w:tr>
      <w:tr w:rsidR="003D3F32" w:rsidRPr="00EA395D" w:rsidDel="00652C0B" w14:paraId="784E673E" w14:textId="77777777" w:rsidTr="0096659F">
        <w:tc>
          <w:tcPr>
            <w:tcW w:w="1462" w:type="dxa"/>
          </w:tcPr>
          <w:p w14:paraId="5B1B7028" w14:textId="5FC9D744" w:rsidR="003D3F32" w:rsidRPr="00EA395D" w:rsidRDefault="003D3F32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1.1.</w:t>
            </w:r>
            <w:r w:rsidR="009115E5">
              <w:rPr>
                <w:rFonts w:eastAsia="Times New Roman" w:cstheme="minorHAnsi"/>
                <w:b/>
                <w:bCs/>
                <w:sz w:val="22"/>
                <w:lang w:eastAsia="cs-CZ"/>
              </w:rPr>
              <w:t>3</w:t>
            </w:r>
          </w:p>
        </w:tc>
        <w:tc>
          <w:tcPr>
            <w:tcW w:w="5196" w:type="dxa"/>
          </w:tcPr>
          <w:p w14:paraId="46AA9DBA" w14:textId="77777777" w:rsidR="003D3F32" w:rsidRPr="00EA395D" w:rsidRDefault="003D3F32" w:rsidP="00BF5DD9">
            <w:pPr>
              <w:pStyle w:val="Tabulkatext"/>
              <w:widowControl w:val="0"/>
              <w:rPr>
                <w:rFonts w:eastAsia="Times New Roman" w:cstheme="minorHAnsi"/>
                <w:b/>
                <w:bCs/>
                <w:sz w:val="22"/>
                <w:lang w:eastAsia="cs-CZ"/>
              </w:rPr>
            </w:pPr>
            <w:r w:rsidRPr="00EA395D">
              <w:rPr>
                <w:rFonts w:eastAsia="Times New Roman" w:cstheme="minorHAnsi"/>
                <w:b/>
                <w:bCs/>
                <w:sz w:val="22"/>
                <w:lang w:eastAsia="cs-CZ"/>
              </w:rPr>
              <w:t>Paušální náklady</w:t>
            </w:r>
            <w:r>
              <w:rPr>
                <w:rFonts w:eastAsia="Times New Roman" w:cstheme="minorHAnsi"/>
                <w:b/>
                <w:bCs/>
                <w:sz w:val="22"/>
                <w:lang w:eastAsia="cs-CZ"/>
              </w:rPr>
              <w:t xml:space="preserve"> (neinvestiční výdaje)</w:t>
            </w:r>
          </w:p>
        </w:tc>
        <w:tc>
          <w:tcPr>
            <w:tcW w:w="1559" w:type="dxa"/>
          </w:tcPr>
          <w:p w14:paraId="1A71B154" w14:textId="77777777" w:rsidR="003D3F32" w:rsidRPr="00EA395D" w:rsidDel="00652C0B" w:rsidRDefault="003D3F32" w:rsidP="00F65B94">
            <w:pPr>
              <w:pStyle w:val="Tabulkatext"/>
              <w:widowControl w:val="0"/>
              <w:jc w:val="right"/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850" w:type="dxa"/>
          </w:tcPr>
          <w:p w14:paraId="16ACA54E" w14:textId="77777777" w:rsidR="003D3F32" w:rsidRPr="00EA395D" w:rsidDel="00652C0B" w:rsidRDefault="003D3F32" w:rsidP="00F65B94">
            <w:pPr>
              <w:pStyle w:val="Tabulkatext"/>
              <w:widowControl w:val="0"/>
              <w:jc w:val="center"/>
              <w:rPr>
                <w:rFonts w:cstheme="minorHAnsi"/>
                <w:sz w:val="22"/>
                <w:highlight w:val="lightGray"/>
              </w:rPr>
            </w:pPr>
          </w:p>
        </w:tc>
      </w:tr>
    </w:tbl>
    <w:p w14:paraId="463C1A1F" w14:textId="77777777" w:rsidR="00C60A28" w:rsidRPr="00C60A28" w:rsidRDefault="00C60A28" w:rsidP="00CE3205"/>
    <w:sectPr w:rsidR="00C60A28" w:rsidRPr="00C60A28" w:rsidSect="00CF55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135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9F554" w14:textId="77777777" w:rsidR="001B7255" w:rsidRDefault="001B7255" w:rsidP="00CE3205">
      <w:r>
        <w:separator/>
      </w:r>
    </w:p>
  </w:endnote>
  <w:endnote w:type="continuationSeparator" w:id="0">
    <w:p w14:paraId="7E9283DA" w14:textId="77777777" w:rsidR="001B7255" w:rsidRDefault="001B7255" w:rsidP="00CE3205">
      <w:r>
        <w:continuationSeparator/>
      </w:r>
    </w:p>
  </w:endnote>
  <w:endnote w:type="continuationNotice" w:id="1">
    <w:p w14:paraId="0BD4E938" w14:textId="77777777" w:rsidR="001B7255" w:rsidRDefault="001B725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9DC8" w14:textId="77777777" w:rsidR="00627F6B" w:rsidRDefault="00627F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360429"/>
      <w:docPartObj>
        <w:docPartGallery w:val="Page Numbers (Bottom of Page)"/>
        <w:docPartUnique/>
      </w:docPartObj>
    </w:sdtPr>
    <w:sdtContent>
      <w:p w14:paraId="2E5AC073" w14:textId="0FBB30E3" w:rsidR="002A67D0" w:rsidRDefault="002A67D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53421B" w14:textId="77777777" w:rsidR="002A67D0" w:rsidRDefault="002A67D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58242" behindDoc="0" locked="1" layoutInCell="1" allowOverlap="0" wp14:anchorId="2E50DBEB" wp14:editId="208C7851">
              <wp:simplePos x="0" y="0"/>
              <wp:positionH relativeFrom="margin">
                <wp:posOffset>4512945</wp:posOffset>
              </wp:positionH>
              <wp:positionV relativeFrom="page">
                <wp:posOffset>9850755</wp:posOffset>
              </wp:positionV>
              <wp:extent cx="1339850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0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8AC0004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627F6B"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55.35pt;margin-top:775.65pt;width:105.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8AC0004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627F6B"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1D219" w14:textId="77777777" w:rsidR="001B7255" w:rsidRDefault="001B7255" w:rsidP="00CE3205">
      <w:r>
        <w:separator/>
      </w:r>
    </w:p>
  </w:footnote>
  <w:footnote w:type="continuationSeparator" w:id="0">
    <w:p w14:paraId="5B0387C8" w14:textId="77777777" w:rsidR="001B7255" w:rsidRDefault="001B7255" w:rsidP="00CE3205">
      <w:r>
        <w:continuationSeparator/>
      </w:r>
    </w:p>
  </w:footnote>
  <w:footnote w:type="continuationNotice" w:id="1">
    <w:p w14:paraId="21BC9B1C" w14:textId="77777777" w:rsidR="001B7255" w:rsidRDefault="001B7255">
      <w:pPr>
        <w:spacing w:before="0" w:after="0"/>
      </w:pPr>
    </w:p>
  </w:footnote>
  <w:footnote w:id="2">
    <w:p w14:paraId="0AC7CF6D" w14:textId="11D33482" w:rsidR="00F305B8" w:rsidRPr="00FF3A92" w:rsidRDefault="00F305B8" w:rsidP="00021A22">
      <w:pPr>
        <w:pStyle w:val="Poznmkypodarou"/>
        <w:spacing w:before="0"/>
        <w:ind w:left="142" w:hanging="142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</w:t>
      </w:r>
      <w:r w:rsidR="00021A22">
        <w:rPr>
          <w:szCs w:val="16"/>
        </w:rPr>
        <w:tab/>
      </w:r>
      <w:r w:rsidR="00BA0F97" w:rsidRPr="00C53D88">
        <w:rPr>
          <w:szCs w:val="16"/>
        </w:rPr>
        <w:t>Údaje vyplňuje žadatel ve Studii proveditelnosti.</w:t>
      </w:r>
    </w:p>
  </w:footnote>
  <w:footnote w:id="3">
    <w:p w14:paraId="3087FD88" w14:textId="77777777" w:rsidR="00BB03BD" w:rsidRDefault="00BB03BD" w:rsidP="00BB03BD">
      <w:pPr>
        <w:pStyle w:val="Textpoznpodarou"/>
        <w:spacing w:before="0"/>
        <w:ind w:left="142" w:hanging="142"/>
        <w:rPr>
          <w:sz w:val="16"/>
          <w:szCs w:val="16"/>
        </w:rPr>
      </w:pPr>
      <w:r w:rsidRPr="00A467CE">
        <w:rPr>
          <w:rStyle w:val="Znakapoznpodarou"/>
          <w:sz w:val="16"/>
          <w:szCs w:val="16"/>
          <w:highlight w:val="lightGray"/>
        </w:rPr>
        <w:footnoteRef/>
      </w:r>
      <w:r w:rsidRPr="00A467CE">
        <w:rPr>
          <w:sz w:val="16"/>
          <w:szCs w:val="16"/>
          <w:highlight w:val="lightGray"/>
        </w:rPr>
        <w:t xml:space="preserve"> </w:t>
      </w:r>
      <w:r w:rsidRPr="00A467CE">
        <w:rPr>
          <w:sz w:val="16"/>
          <w:szCs w:val="16"/>
          <w:highlight w:val="lightGray"/>
        </w:rPr>
        <w:tab/>
        <w:t>Cíl projektu č. 3 bude upraven podle toho, co žadatel uvede do příslušného pole ve Studii proveditelnosti. Relevantní pouze v případě zvolení Aktivity 4, v opačném případě bude cíl projektu č. 3 odstraněn.</w:t>
      </w:r>
      <w:r>
        <w:rPr>
          <w:sz w:val="16"/>
          <w:szCs w:val="16"/>
        </w:rPr>
        <w:t xml:space="preserve"> </w:t>
      </w:r>
    </w:p>
    <w:p w14:paraId="5FDDA6A0" w14:textId="13B719C1" w:rsidR="00BB03BD" w:rsidRPr="004626AD" w:rsidRDefault="00BB03BD" w:rsidP="00BB03BD">
      <w:pPr>
        <w:pStyle w:val="Textpoznpodarou"/>
        <w:spacing w:before="0"/>
        <w:ind w:left="142" w:hanging="142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  <w:highlight w:val="lightGray"/>
        </w:rPr>
        <w:t xml:space="preserve">Poznámku pod čarou </w:t>
      </w:r>
      <w:r w:rsidRPr="00567B9E">
        <w:rPr>
          <w:sz w:val="16"/>
          <w:szCs w:val="16"/>
          <w:highlight w:val="lightGray"/>
        </w:rPr>
        <w:t>odstraňte i pro případ ponechání cíle 3 v ZPP.</w:t>
      </w:r>
    </w:p>
  </w:footnote>
  <w:footnote w:id="4">
    <w:p w14:paraId="2E6D4657" w14:textId="6E920D74" w:rsidR="00F305B8" w:rsidRPr="00FF3A92" w:rsidRDefault="00F305B8" w:rsidP="00021A22">
      <w:pPr>
        <w:pStyle w:val="Poznmkypodarou"/>
        <w:spacing w:before="0"/>
        <w:ind w:left="142" w:hanging="142"/>
        <w:rPr>
          <w:szCs w:val="16"/>
        </w:rPr>
      </w:pPr>
      <w:r w:rsidRPr="00FF3A92">
        <w:rPr>
          <w:rStyle w:val="Znakapoznpodarou"/>
          <w:rFonts w:cs="Calibri"/>
          <w:szCs w:val="16"/>
        </w:rPr>
        <w:footnoteRef/>
      </w:r>
      <w:r w:rsidRPr="00FF3A92">
        <w:rPr>
          <w:szCs w:val="16"/>
        </w:rPr>
        <w:t xml:space="preserve"> </w:t>
      </w:r>
      <w:r w:rsidR="00021A22">
        <w:rPr>
          <w:szCs w:val="16"/>
        </w:rPr>
        <w:tab/>
      </w:r>
      <w:r w:rsidR="00BA0F97" w:rsidRPr="00C53D88">
        <w:rPr>
          <w:szCs w:val="16"/>
        </w:rPr>
        <w:t>Údaje vyplňuje žadatel ve Studii proveditelnosti.</w:t>
      </w:r>
    </w:p>
  </w:footnote>
  <w:footnote w:id="5">
    <w:p w14:paraId="1A72195E" w14:textId="741B1E1D" w:rsidR="00FF3A92" w:rsidRPr="004626AD" w:rsidRDefault="00FF3A92" w:rsidP="00021A22">
      <w:pPr>
        <w:pStyle w:val="Textpoznpodarou"/>
        <w:spacing w:before="0"/>
        <w:ind w:left="142" w:hanging="142"/>
        <w:rPr>
          <w:sz w:val="16"/>
          <w:szCs w:val="16"/>
        </w:rPr>
      </w:pPr>
      <w:r w:rsidRPr="00FF3A92">
        <w:rPr>
          <w:rStyle w:val="Znakapoznpodarou"/>
          <w:sz w:val="16"/>
          <w:szCs w:val="16"/>
        </w:rPr>
        <w:footnoteRef/>
      </w:r>
      <w:r w:rsidR="00BA0F97" w:rsidRPr="00BA0F97">
        <w:rPr>
          <w:sz w:val="16"/>
          <w:szCs w:val="16"/>
        </w:rPr>
        <w:t xml:space="preserve"> </w:t>
      </w:r>
      <w:r w:rsidR="00021A22">
        <w:rPr>
          <w:sz w:val="16"/>
          <w:szCs w:val="16"/>
        </w:rPr>
        <w:tab/>
      </w:r>
      <w:r w:rsidR="00BA0F97" w:rsidRPr="00C53D88">
        <w:rPr>
          <w:sz w:val="16"/>
          <w:szCs w:val="16"/>
        </w:rPr>
        <w:t>Název KA 2 a dalších, vyjma KA 1, musí odpovídat žádosti o podporu.</w:t>
      </w:r>
    </w:p>
  </w:footnote>
  <w:footnote w:id="6">
    <w:p w14:paraId="6EA7F2B6" w14:textId="77777777" w:rsidR="0096659F" w:rsidRPr="001D02A3" w:rsidRDefault="0096659F" w:rsidP="0096659F">
      <w:pPr>
        <w:pStyle w:val="Textpoznpodarou"/>
        <w:spacing w:before="0"/>
        <w:ind w:left="142" w:hanging="142"/>
        <w:rPr>
          <w:sz w:val="16"/>
          <w:szCs w:val="16"/>
        </w:rPr>
      </w:pPr>
      <w:r w:rsidRPr="00C53D88">
        <w:rPr>
          <w:rStyle w:val="Znakapoznpodarou"/>
          <w:sz w:val="16"/>
          <w:szCs w:val="16"/>
        </w:rPr>
        <w:footnoteRef/>
      </w:r>
      <w:r w:rsidRPr="00C53D88">
        <w:rPr>
          <w:sz w:val="16"/>
          <w:szCs w:val="16"/>
          <w:vertAlign w:val="superscript"/>
        </w:rPr>
        <w:t xml:space="preserve"> </w:t>
      </w:r>
      <w:r>
        <w:rPr>
          <w:sz w:val="16"/>
          <w:szCs w:val="16"/>
          <w:vertAlign w:val="superscript"/>
        </w:rPr>
        <w:tab/>
      </w:r>
      <w:r w:rsidRPr="00C53D88">
        <w:rPr>
          <w:sz w:val="16"/>
          <w:szCs w:val="16"/>
        </w:rPr>
        <w:t>Údaje vyplňuje žadatel v</w:t>
      </w:r>
      <w:r>
        <w:rPr>
          <w:sz w:val="16"/>
          <w:szCs w:val="16"/>
        </w:rPr>
        <w:t xml:space="preserve">e Studii </w:t>
      </w:r>
      <w:r w:rsidRPr="00C53D88">
        <w:rPr>
          <w:sz w:val="16"/>
          <w:szCs w:val="16"/>
        </w:rPr>
        <w:t>proveditelnosti.</w:t>
      </w:r>
    </w:p>
  </w:footnote>
  <w:footnote w:id="7">
    <w:p w14:paraId="7C26BF40" w14:textId="77777777" w:rsidR="00021A22" w:rsidRPr="00162C93" w:rsidRDefault="00021A22" w:rsidP="00021A22">
      <w:pPr>
        <w:pStyle w:val="Textpoznpodarou"/>
        <w:spacing w:before="0"/>
        <w:ind w:left="142" w:hanging="142"/>
        <w:rPr>
          <w:sz w:val="16"/>
          <w:szCs w:val="16"/>
        </w:rPr>
      </w:pPr>
      <w:r w:rsidRPr="00162C93">
        <w:rPr>
          <w:rStyle w:val="Znakapoznpodarou"/>
          <w:sz w:val="16"/>
          <w:szCs w:val="16"/>
        </w:rPr>
        <w:footnoteRef/>
      </w:r>
      <w:r w:rsidRPr="00162C9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62C93">
        <w:rPr>
          <w:sz w:val="16"/>
          <w:szCs w:val="16"/>
        </w:rPr>
        <w:t>Pro úpravy a změny v</w:t>
      </w:r>
      <w:r>
        <w:rPr>
          <w:sz w:val="16"/>
          <w:szCs w:val="16"/>
        </w:rPr>
        <w:t>e Schématu návratového grantu j</w:t>
      </w:r>
      <w:r w:rsidRPr="00162C93">
        <w:rPr>
          <w:sz w:val="16"/>
          <w:szCs w:val="16"/>
        </w:rPr>
        <w:t xml:space="preserve">sou závazná ustanovení v kapitolách 7.2.1.1 </w:t>
      </w:r>
      <w:r>
        <w:rPr>
          <w:sz w:val="16"/>
          <w:szCs w:val="16"/>
        </w:rPr>
        <w:t xml:space="preserve">(informace k projektu) </w:t>
      </w:r>
      <w:r w:rsidRPr="00162C93">
        <w:rPr>
          <w:sz w:val="16"/>
          <w:szCs w:val="16"/>
        </w:rPr>
        <w:t xml:space="preserve">a 7.4.2.2 </w:t>
      </w:r>
      <w:r>
        <w:rPr>
          <w:sz w:val="16"/>
          <w:szCs w:val="16"/>
        </w:rPr>
        <w:t xml:space="preserve">(podstatné změny významné) </w:t>
      </w:r>
      <w:r w:rsidRPr="00162C93">
        <w:rPr>
          <w:sz w:val="16"/>
          <w:szCs w:val="16"/>
        </w:rPr>
        <w:t>PpŽP – specifická část.</w:t>
      </w:r>
    </w:p>
  </w:footnote>
  <w:footnote w:id="8">
    <w:p w14:paraId="313044DC" w14:textId="5F2C7C6A" w:rsidR="00F305B8" w:rsidRPr="00162C93" w:rsidRDefault="00F305B8" w:rsidP="00966602">
      <w:pPr>
        <w:pStyle w:val="Poznmkypodarou"/>
        <w:spacing w:before="0"/>
        <w:ind w:left="142" w:hanging="142"/>
        <w:rPr>
          <w:szCs w:val="16"/>
        </w:rPr>
      </w:pPr>
      <w:r w:rsidRPr="00162C93">
        <w:rPr>
          <w:rStyle w:val="Znakapoznpodarou"/>
          <w:rFonts w:cs="Calibri"/>
          <w:szCs w:val="16"/>
        </w:rPr>
        <w:footnoteRef/>
      </w:r>
      <w:r w:rsidRPr="00162C93">
        <w:rPr>
          <w:szCs w:val="16"/>
        </w:rPr>
        <w:t xml:space="preserve"> </w:t>
      </w:r>
      <w:r w:rsidR="00966602">
        <w:rPr>
          <w:szCs w:val="16"/>
        </w:rPr>
        <w:tab/>
      </w:r>
      <w:r w:rsidRPr="00162C93">
        <w:rPr>
          <w:szCs w:val="16"/>
        </w:rPr>
        <w:t xml:space="preserve">Údaje vyplňuje žadatel v ISKP21+ na záložce </w:t>
      </w:r>
      <w:r w:rsidR="004F7B3E" w:rsidRPr="00162C93">
        <w:rPr>
          <w:szCs w:val="16"/>
        </w:rPr>
        <w:t>„</w:t>
      </w:r>
      <w:r w:rsidRPr="00162C93">
        <w:rPr>
          <w:szCs w:val="16"/>
        </w:rPr>
        <w:t>Indikátory</w:t>
      </w:r>
      <w:r w:rsidR="004F7B3E" w:rsidRPr="00162C93">
        <w:rPr>
          <w:szCs w:val="16"/>
        </w:rPr>
        <w:t>“</w:t>
      </w:r>
      <w:r w:rsidRPr="00162C93">
        <w:rPr>
          <w:szCs w:val="16"/>
        </w:rPr>
        <w:t>.</w:t>
      </w:r>
    </w:p>
  </w:footnote>
  <w:footnote w:id="9">
    <w:p w14:paraId="23CE69D1" w14:textId="16FAF4D4" w:rsidR="00F305B8" w:rsidRPr="00770443" w:rsidRDefault="00F305B8" w:rsidP="00966602">
      <w:pPr>
        <w:pStyle w:val="Poznmkypodarou"/>
        <w:spacing w:before="0"/>
        <w:ind w:left="142" w:hanging="142"/>
      </w:pPr>
      <w:r w:rsidRPr="00162C93">
        <w:rPr>
          <w:rStyle w:val="Znakapoznpodarou"/>
          <w:rFonts w:cs="Calibri"/>
          <w:szCs w:val="16"/>
        </w:rPr>
        <w:footnoteRef/>
      </w:r>
      <w:r w:rsidRPr="00162C93">
        <w:rPr>
          <w:szCs w:val="16"/>
        </w:rPr>
        <w:t xml:space="preserve"> </w:t>
      </w:r>
      <w:r w:rsidR="00966602">
        <w:rPr>
          <w:szCs w:val="16"/>
        </w:rPr>
        <w:tab/>
      </w:r>
      <w:r w:rsidRPr="00162C93">
        <w:rPr>
          <w:szCs w:val="16"/>
        </w:rPr>
        <w:t xml:space="preserve">Údaje vyplňuje žadatel v ISKP21+ v souladu s uživatelskou příručkou na záložce </w:t>
      </w:r>
      <w:r w:rsidR="004F7B3E" w:rsidRPr="00162C93">
        <w:rPr>
          <w:szCs w:val="16"/>
        </w:rPr>
        <w:t>„</w:t>
      </w:r>
      <w:r w:rsidRPr="00162C93">
        <w:rPr>
          <w:szCs w:val="16"/>
        </w:rPr>
        <w:t>Rozpočet</w:t>
      </w:r>
      <w:r w:rsidR="004F7B3E" w:rsidRPr="00162C93">
        <w:rPr>
          <w:szCs w:val="16"/>
        </w:rPr>
        <w:t>“</w:t>
      </w:r>
      <w:r w:rsidRPr="00162C93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ABC78" w14:textId="77777777" w:rsidR="00627F6B" w:rsidRDefault="00627F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5312"/>
        </w:tabs>
        <w:ind w:left="5312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6380"/>
        </w:tabs>
        <w:ind w:left="638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7188"/>
        </w:tabs>
        <w:ind w:left="7188" w:hanging="360"/>
      </w:pPr>
    </w:lvl>
    <w:lvl w:ilvl="3" w:tplc="04050001">
      <w:start w:val="1"/>
      <w:numFmt w:val="decimal"/>
      <w:lvlText w:val="%4."/>
      <w:lvlJc w:val="left"/>
      <w:pPr>
        <w:tabs>
          <w:tab w:val="num" w:pos="7908"/>
        </w:tabs>
        <w:ind w:left="7908" w:hanging="360"/>
      </w:pPr>
    </w:lvl>
    <w:lvl w:ilvl="4" w:tplc="04050003">
      <w:start w:val="1"/>
      <w:numFmt w:val="decimal"/>
      <w:lvlText w:val="%5."/>
      <w:lvlJc w:val="left"/>
      <w:pPr>
        <w:tabs>
          <w:tab w:val="num" w:pos="8628"/>
        </w:tabs>
        <w:ind w:left="8628" w:hanging="360"/>
      </w:pPr>
    </w:lvl>
    <w:lvl w:ilvl="5" w:tplc="04050005">
      <w:start w:val="1"/>
      <w:numFmt w:val="decimal"/>
      <w:lvlText w:val="%6."/>
      <w:lvlJc w:val="left"/>
      <w:pPr>
        <w:tabs>
          <w:tab w:val="num" w:pos="9348"/>
        </w:tabs>
        <w:ind w:left="9348" w:hanging="360"/>
      </w:pPr>
    </w:lvl>
    <w:lvl w:ilvl="6" w:tplc="04050001">
      <w:start w:val="1"/>
      <w:numFmt w:val="decimal"/>
      <w:lvlText w:val="%7."/>
      <w:lvlJc w:val="left"/>
      <w:pPr>
        <w:tabs>
          <w:tab w:val="num" w:pos="10068"/>
        </w:tabs>
        <w:ind w:left="10068" w:hanging="360"/>
      </w:pPr>
    </w:lvl>
    <w:lvl w:ilvl="7" w:tplc="04050003">
      <w:start w:val="1"/>
      <w:numFmt w:val="decimal"/>
      <w:lvlText w:val="%8."/>
      <w:lvlJc w:val="left"/>
      <w:pPr>
        <w:tabs>
          <w:tab w:val="num" w:pos="10788"/>
        </w:tabs>
        <w:ind w:left="10788" w:hanging="360"/>
      </w:pPr>
    </w:lvl>
    <w:lvl w:ilvl="8" w:tplc="04050005">
      <w:start w:val="1"/>
      <w:numFmt w:val="decimal"/>
      <w:lvlText w:val="%9."/>
      <w:lvlJc w:val="left"/>
      <w:pPr>
        <w:tabs>
          <w:tab w:val="num" w:pos="11508"/>
        </w:tabs>
        <w:ind w:left="11508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00830CA"/>
    <w:multiLevelType w:val="hybridMultilevel"/>
    <w:tmpl w:val="BF34D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15599"/>
    <w:multiLevelType w:val="hybridMultilevel"/>
    <w:tmpl w:val="B3A67A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4B2C3F"/>
    <w:multiLevelType w:val="hybridMultilevel"/>
    <w:tmpl w:val="688C2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6C2BA5"/>
    <w:multiLevelType w:val="hybridMultilevel"/>
    <w:tmpl w:val="1160D60A"/>
    <w:lvl w:ilvl="0" w:tplc="F1223A04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65366">
    <w:abstractNumId w:val="0"/>
  </w:num>
  <w:num w:numId="2" w16cid:durableId="1155490370">
    <w:abstractNumId w:val="1"/>
  </w:num>
  <w:num w:numId="3" w16cid:durableId="1974748530">
    <w:abstractNumId w:val="3"/>
  </w:num>
  <w:num w:numId="4" w16cid:durableId="272983534">
    <w:abstractNumId w:val="4"/>
  </w:num>
  <w:num w:numId="5" w16cid:durableId="168564534">
    <w:abstractNumId w:val="2"/>
  </w:num>
  <w:num w:numId="6" w16cid:durableId="1057164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349C"/>
    <w:rsid w:val="000036CD"/>
    <w:rsid w:val="00007DD8"/>
    <w:rsid w:val="00010776"/>
    <w:rsid w:val="00021A22"/>
    <w:rsid w:val="00021AFD"/>
    <w:rsid w:val="0002260F"/>
    <w:rsid w:val="00030388"/>
    <w:rsid w:val="000477E3"/>
    <w:rsid w:val="00051029"/>
    <w:rsid w:val="00054A83"/>
    <w:rsid w:val="00074ACC"/>
    <w:rsid w:val="000859F9"/>
    <w:rsid w:val="00095E13"/>
    <w:rsid w:val="000A1F63"/>
    <w:rsid w:val="000A6FBA"/>
    <w:rsid w:val="000A71E2"/>
    <w:rsid w:val="000C345E"/>
    <w:rsid w:val="000D59FD"/>
    <w:rsid w:val="000E1578"/>
    <w:rsid w:val="000F50F4"/>
    <w:rsid w:val="0010035A"/>
    <w:rsid w:val="0011185A"/>
    <w:rsid w:val="001123C8"/>
    <w:rsid w:val="00112C62"/>
    <w:rsid w:val="00114C23"/>
    <w:rsid w:val="00114C3F"/>
    <w:rsid w:val="00124B82"/>
    <w:rsid w:val="00127CF4"/>
    <w:rsid w:val="00130172"/>
    <w:rsid w:val="001317C6"/>
    <w:rsid w:val="001518E0"/>
    <w:rsid w:val="00154717"/>
    <w:rsid w:val="00162C93"/>
    <w:rsid w:val="00192EF0"/>
    <w:rsid w:val="00196051"/>
    <w:rsid w:val="001A2B88"/>
    <w:rsid w:val="001A416D"/>
    <w:rsid w:val="001B7255"/>
    <w:rsid w:val="001C174D"/>
    <w:rsid w:val="001D25D9"/>
    <w:rsid w:val="001D50F8"/>
    <w:rsid w:val="001D5648"/>
    <w:rsid w:val="001E7802"/>
    <w:rsid w:val="001F7BA8"/>
    <w:rsid w:val="00205E8E"/>
    <w:rsid w:val="00212249"/>
    <w:rsid w:val="00221505"/>
    <w:rsid w:val="0029255F"/>
    <w:rsid w:val="00294183"/>
    <w:rsid w:val="00294A6C"/>
    <w:rsid w:val="002965C9"/>
    <w:rsid w:val="002A67D0"/>
    <w:rsid w:val="002A693D"/>
    <w:rsid w:val="002B5085"/>
    <w:rsid w:val="002C0521"/>
    <w:rsid w:val="002D6D4C"/>
    <w:rsid w:val="002E3582"/>
    <w:rsid w:val="002E4ECF"/>
    <w:rsid w:val="002E4FE8"/>
    <w:rsid w:val="002E56ED"/>
    <w:rsid w:val="002F28F8"/>
    <w:rsid w:val="002F7CF9"/>
    <w:rsid w:val="00330A22"/>
    <w:rsid w:val="00333704"/>
    <w:rsid w:val="003359FF"/>
    <w:rsid w:val="00366B3D"/>
    <w:rsid w:val="00377CBD"/>
    <w:rsid w:val="00382DC6"/>
    <w:rsid w:val="003832CD"/>
    <w:rsid w:val="003A14EE"/>
    <w:rsid w:val="003A1B8B"/>
    <w:rsid w:val="003A6433"/>
    <w:rsid w:val="003B0327"/>
    <w:rsid w:val="003C21AD"/>
    <w:rsid w:val="003D0CAF"/>
    <w:rsid w:val="003D3F32"/>
    <w:rsid w:val="003E29EA"/>
    <w:rsid w:val="004029F1"/>
    <w:rsid w:val="004073E5"/>
    <w:rsid w:val="00414314"/>
    <w:rsid w:val="004206D4"/>
    <w:rsid w:val="00422972"/>
    <w:rsid w:val="00436479"/>
    <w:rsid w:val="00442C48"/>
    <w:rsid w:val="00445D8B"/>
    <w:rsid w:val="004538FE"/>
    <w:rsid w:val="004626AD"/>
    <w:rsid w:val="00474712"/>
    <w:rsid w:val="00476711"/>
    <w:rsid w:val="00497DF3"/>
    <w:rsid w:val="00497F01"/>
    <w:rsid w:val="004B13FF"/>
    <w:rsid w:val="004C4791"/>
    <w:rsid w:val="004F7B3E"/>
    <w:rsid w:val="00510EF1"/>
    <w:rsid w:val="00543D36"/>
    <w:rsid w:val="00583E42"/>
    <w:rsid w:val="00586A6D"/>
    <w:rsid w:val="00590117"/>
    <w:rsid w:val="005B039F"/>
    <w:rsid w:val="005B1C64"/>
    <w:rsid w:val="005B1F7E"/>
    <w:rsid w:val="005C4889"/>
    <w:rsid w:val="005E0FD1"/>
    <w:rsid w:val="005F194B"/>
    <w:rsid w:val="005F5657"/>
    <w:rsid w:val="0061449A"/>
    <w:rsid w:val="00626508"/>
    <w:rsid w:val="00627F6B"/>
    <w:rsid w:val="00643506"/>
    <w:rsid w:val="00650F24"/>
    <w:rsid w:val="00655F58"/>
    <w:rsid w:val="00660B19"/>
    <w:rsid w:val="00665BF9"/>
    <w:rsid w:val="0067161E"/>
    <w:rsid w:val="006750C8"/>
    <w:rsid w:val="006833CC"/>
    <w:rsid w:val="00683463"/>
    <w:rsid w:val="006A68C7"/>
    <w:rsid w:val="006B17AE"/>
    <w:rsid w:val="006B3D68"/>
    <w:rsid w:val="006C0AF5"/>
    <w:rsid w:val="006D0408"/>
    <w:rsid w:val="006F1B93"/>
    <w:rsid w:val="006F6058"/>
    <w:rsid w:val="0070147A"/>
    <w:rsid w:val="0070239E"/>
    <w:rsid w:val="00713BAC"/>
    <w:rsid w:val="00730675"/>
    <w:rsid w:val="00735890"/>
    <w:rsid w:val="007406D5"/>
    <w:rsid w:val="007418FE"/>
    <w:rsid w:val="0074787D"/>
    <w:rsid w:val="00752FD3"/>
    <w:rsid w:val="007572FA"/>
    <w:rsid w:val="00757AEB"/>
    <w:rsid w:val="007625C2"/>
    <w:rsid w:val="00783DD3"/>
    <w:rsid w:val="00793C83"/>
    <w:rsid w:val="007A579D"/>
    <w:rsid w:val="007A74C8"/>
    <w:rsid w:val="007B5A2F"/>
    <w:rsid w:val="007C4763"/>
    <w:rsid w:val="007C4DFB"/>
    <w:rsid w:val="007C65D2"/>
    <w:rsid w:val="007D2AFF"/>
    <w:rsid w:val="007E4D2F"/>
    <w:rsid w:val="007F10ED"/>
    <w:rsid w:val="007F3DFC"/>
    <w:rsid w:val="007F4F78"/>
    <w:rsid w:val="00804165"/>
    <w:rsid w:val="0080547D"/>
    <w:rsid w:val="00815805"/>
    <w:rsid w:val="00831EAC"/>
    <w:rsid w:val="00850E73"/>
    <w:rsid w:val="0085324C"/>
    <w:rsid w:val="00866748"/>
    <w:rsid w:val="00895106"/>
    <w:rsid w:val="008B218D"/>
    <w:rsid w:val="008B4EB5"/>
    <w:rsid w:val="008B7131"/>
    <w:rsid w:val="008B721A"/>
    <w:rsid w:val="008C3D93"/>
    <w:rsid w:val="008E5C24"/>
    <w:rsid w:val="008E5DF1"/>
    <w:rsid w:val="008E5F68"/>
    <w:rsid w:val="008F3C96"/>
    <w:rsid w:val="008F5355"/>
    <w:rsid w:val="008F6F66"/>
    <w:rsid w:val="00903259"/>
    <w:rsid w:val="0090792F"/>
    <w:rsid w:val="009115E5"/>
    <w:rsid w:val="00912083"/>
    <w:rsid w:val="00912182"/>
    <w:rsid w:val="00912332"/>
    <w:rsid w:val="009253F1"/>
    <w:rsid w:val="009262B7"/>
    <w:rsid w:val="009355DA"/>
    <w:rsid w:val="00951B61"/>
    <w:rsid w:val="00951E2D"/>
    <w:rsid w:val="0096659F"/>
    <w:rsid w:val="00966602"/>
    <w:rsid w:val="009740D5"/>
    <w:rsid w:val="009903AD"/>
    <w:rsid w:val="00996277"/>
    <w:rsid w:val="009A4212"/>
    <w:rsid w:val="009B7336"/>
    <w:rsid w:val="009C5A31"/>
    <w:rsid w:val="009C73A8"/>
    <w:rsid w:val="009E3922"/>
    <w:rsid w:val="00A01894"/>
    <w:rsid w:val="00A02780"/>
    <w:rsid w:val="00A153B1"/>
    <w:rsid w:val="00A22567"/>
    <w:rsid w:val="00A227F2"/>
    <w:rsid w:val="00A249F6"/>
    <w:rsid w:val="00A45DA2"/>
    <w:rsid w:val="00A467CE"/>
    <w:rsid w:val="00A57661"/>
    <w:rsid w:val="00A71631"/>
    <w:rsid w:val="00A804D2"/>
    <w:rsid w:val="00A8087D"/>
    <w:rsid w:val="00A8506A"/>
    <w:rsid w:val="00AA3421"/>
    <w:rsid w:val="00AB0EE3"/>
    <w:rsid w:val="00AD47E6"/>
    <w:rsid w:val="00AE09E2"/>
    <w:rsid w:val="00AE0ADF"/>
    <w:rsid w:val="00AE3441"/>
    <w:rsid w:val="00B12607"/>
    <w:rsid w:val="00B12A27"/>
    <w:rsid w:val="00B16F6E"/>
    <w:rsid w:val="00B24278"/>
    <w:rsid w:val="00B30045"/>
    <w:rsid w:val="00B540B2"/>
    <w:rsid w:val="00B54B9B"/>
    <w:rsid w:val="00B6777B"/>
    <w:rsid w:val="00B75860"/>
    <w:rsid w:val="00B76A77"/>
    <w:rsid w:val="00B90C5A"/>
    <w:rsid w:val="00B95FD4"/>
    <w:rsid w:val="00BA0F97"/>
    <w:rsid w:val="00BA4D8E"/>
    <w:rsid w:val="00BB03BD"/>
    <w:rsid w:val="00BD4751"/>
    <w:rsid w:val="00BD607C"/>
    <w:rsid w:val="00BE0E21"/>
    <w:rsid w:val="00BE4F6D"/>
    <w:rsid w:val="00BE607E"/>
    <w:rsid w:val="00C04C73"/>
    <w:rsid w:val="00C118B2"/>
    <w:rsid w:val="00C1430E"/>
    <w:rsid w:val="00C15911"/>
    <w:rsid w:val="00C20247"/>
    <w:rsid w:val="00C45456"/>
    <w:rsid w:val="00C46E41"/>
    <w:rsid w:val="00C5248D"/>
    <w:rsid w:val="00C556E9"/>
    <w:rsid w:val="00C60A28"/>
    <w:rsid w:val="00C632AB"/>
    <w:rsid w:val="00C66966"/>
    <w:rsid w:val="00C744F2"/>
    <w:rsid w:val="00C75A1C"/>
    <w:rsid w:val="00C87F0C"/>
    <w:rsid w:val="00C95DC0"/>
    <w:rsid w:val="00CA23BB"/>
    <w:rsid w:val="00CA2883"/>
    <w:rsid w:val="00CA7D7C"/>
    <w:rsid w:val="00CB6DF9"/>
    <w:rsid w:val="00CD75DC"/>
    <w:rsid w:val="00CE3205"/>
    <w:rsid w:val="00CF5549"/>
    <w:rsid w:val="00D1517F"/>
    <w:rsid w:val="00D444E2"/>
    <w:rsid w:val="00D51541"/>
    <w:rsid w:val="00D555DC"/>
    <w:rsid w:val="00D55DD7"/>
    <w:rsid w:val="00D56337"/>
    <w:rsid w:val="00D629EA"/>
    <w:rsid w:val="00D65C9F"/>
    <w:rsid w:val="00D70252"/>
    <w:rsid w:val="00D83308"/>
    <w:rsid w:val="00D872C7"/>
    <w:rsid w:val="00D9076D"/>
    <w:rsid w:val="00D94896"/>
    <w:rsid w:val="00D97F3A"/>
    <w:rsid w:val="00DA4E7F"/>
    <w:rsid w:val="00DB3364"/>
    <w:rsid w:val="00DE5715"/>
    <w:rsid w:val="00E01B06"/>
    <w:rsid w:val="00E06E3F"/>
    <w:rsid w:val="00E15170"/>
    <w:rsid w:val="00E21754"/>
    <w:rsid w:val="00E24CD1"/>
    <w:rsid w:val="00E3278D"/>
    <w:rsid w:val="00E40A03"/>
    <w:rsid w:val="00E472DE"/>
    <w:rsid w:val="00E71B5A"/>
    <w:rsid w:val="00E73293"/>
    <w:rsid w:val="00E803EC"/>
    <w:rsid w:val="00E82973"/>
    <w:rsid w:val="00E86121"/>
    <w:rsid w:val="00E87A8B"/>
    <w:rsid w:val="00E900A7"/>
    <w:rsid w:val="00E92D86"/>
    <w:rsid w:val="00E971D3"/>
    <w:rsid w:val="00EA0C52"/>
    <w:rsid w:val="00EA18ED"/>
    <w:rsid w:val="00EA5AE8"/>
    <w:rsid w:val="00EA7DE2"/>
    <w:rsid w:val="00EB23AD"/>
    <w:rsid w:val="00EB2C8F"/>
    <w:rsid w:val="00EB4E3D"/>
    <w:rsid w:val="00EC6E2A"/>
    <w:rsid w:val="00EE3BB3"/>
    <w:rsid w:val="00F036A7"/>
    <w:rsid w:val="00F05483"/>
    <w:rsid w:val="00F07BA8"/>
    <w:rsid w:val="00F16233"/>
    <w:rsid w:val="00F17324"/>
    <w:rsid w:val="00F202C5"/>
    <w:rsid w:val="00F20831"/>
    <w:rsid w:val="00F26CB2"/>
    <w:rsid w:val="00F302E5"/>
    <w:rsid w:val="00F305B8"/>
    <w:rsid w:val="00F451AD"/>
    <w:rsid w:val="00F60EBD"/>
    <w:rsid w:val="00F65B94"/>
    <w:rsid w:val="00F772FE"/>
    <w:rsid w:val="00F82F74"/>
    <w:rsid w:val="00F84E93"/>
    <w:rsid w:val="00FA3976"/>
    <w:rsid w:val="00FB79B1"/>
    <w:rsid w:val="00FC7D8E"/>
    <w:rsid w:val="00FF08A1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BD475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BD475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305B8"/>
    <w:pPr>
      <w:tabs>
        <w:tab w:val="clear" w:pos="5790"/>
      </w:tabs>
      <w:spacing w:before="60" w:after="60"/>
      <w:ind w:left="57" w:right="57"/>
      <w:jc w:val="left"/>
    </w:pPr>
    <w:rPr>
      <w:rFonts w:asciiTheme="minorHAnsi" w:hAnsiTheme="minorHAnsi"/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305B8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305B8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305B8"/>
    <w:rPr>
      <w:color w:val="080808"/>
      <w:sz w:val="20"/>
    </w:rPr>
  </w:style>
  <w:style w:type="table" w:styleId="Mkatabulky">
    <w:name w:val="Table Grid"/>
    <w:basedOn w:val="Normlntabulka"/>
    <w:uiPriority w:val="59"/>
    <w:rsid w:val="00F30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F305B8"/>
    <w:pPr>
      <w:tabs>
        <w:tab w:val="clear" w:pos="5790"/>
      </w:tabs>
      <w:spacing w:before="0" w:after="220"/>
      <w:ind w:left="720"/>
      <w:contextualSpacing/>
    </w:pPr>
    <w:rPr>
      <w:rFonts w:asciiTheme="minorHAnsi" w:hAnsiTheme="minorHAnsi"/>
      <w:color w:val="00000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305B8"/>
    <w:rPr>
      <w:color w:val="000000"/>
    </w:rPr>
  </w:style>
  <w:style w:type="paragraph" w:styleId="Revize">
    <w:name w:val="Revision"/>
    <w:hidden/>
    <w:uiPriority w:val="99"/>
    <w:semiHidden/>
    <w:rsid w:val="00D94896"/>
    <w:pPr>
      <w:spacing w:after="0" w:line="240" w:lineRule="auto"/>
    </w:pPr>
    <w:rPr>
      <w:rFonts w:ascii="Calibri" w:hAnsi="Calibri"/>
    </w:rPr>
  </w:style>
  <w:style w:type="character" w:customStyle="1" w:styleId="ui-provider">
    <w:name w:val="ui-provider"/>
    <w:basedOn w:val="Standardnpsmoodstavce"/>
    <w:rsid w:val="003D3F32"/>
  </w:style>
  <w:style w:type="character" w:styleId="Hypertextovodkaz">
    <w:name w:val="Hyperlink"/>
    <w:basedOn w:val="Standardnpsmoodstavce"/>
    <w:uiPriority w:val="99"/>
    <w:unhideWhenUsed/>
    <w:rsid w:val="002A693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15OPMSMT0001-78-53122</_dlc_DocId>
    <_dlc_DocIdUrl xmlns="0104a4cd-1400-468e-be1b-c7aad71d7d5a">
      <Url>https://op.msmt.cz/_layouts/15/DocIdRedir.aspx?ID=15OPMSMT0001-78-53122</Url>
      <Description>15OPMSMT0001-78-53122</Description>
    </_dlc_DocIdUrl>
    <pozn_x00e1_mka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7A066-F4AD-49B6-8972-5F9D52AF92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8AD4E-974B-4472-B22A-9E813657DA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8AD102E-7155-447A-99D8-06E6F7762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81DC2-AF2E-4B03-B7BC-303161CE86D5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455C91AC-BA51-4263-9C1A-B2E805B6D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>na web</dc:description>
  <cp:lastModifiedBy>Zieglerová Alena</cp:lastModifiedBy>
  <cp:revision>2</cp:revision>
  <cp:lastPrinted>2022-03-15T15:20:00Z</cp:lastPrinted>
  <dcterms:created xsi:type="dcterms:W3CDTF">2025-09-08T11:16:00Z</dcterms:created>
  <dcterms:modified xsi:type="dcterms:W3CDTF">2025-09-08T11:16:00Z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8e2f6cf2-4851-46b2-bb71-3834e3d6ef08</vt:lpwstr>
  </property>
</Properties>
</file>