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080C94">
      <w:pPr>
        <w:jc w:val="center"/>
      </w:pPr>
      <w:r w:rsidRPr="00347CB3">
        <w:t>(dále jen „Rozhodnutí“)</w:t>
      </w:r>
    </w:p>
    <w:p w14:paraId="2B6E80B1" w14:textId="55D81438" w:rsidR="00BF6D36" w:rsidRPr="00617DF2" w:rsidRDefault="00572BC5" w:rsidP="00967BFD">
      <w:pPr>
        <w:spacing w:before="240" w:after="360"/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bookmarkStart w:id="0" w:name="_Hlk163563134"/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F25FFC" w:rsidRPr="00322324">
        <w:rPr>
          <w:rFonts w:asciiTheme="minorHAnsi" w:hAnsiTheme="minorHAnsi" w:cstheme="minorHAnsi"/>
          <w:color w:val="000000"/>
        </w:rPr>
        <w:t>02_23_026</w:t>
      </w:r>
      <w:r w:rsidR="00797732">
        <w:t xml:space="preserve"> s názvem </w:t>
      </w:r>
      <w:r w:rsidR="00F25FFC">
        <w:t>Výzkumné prostředí</w:t>
      </w:r>
      <w:r w:rsidR="000469FB">
        <w:t xml:space="preserve"> (dále jen „výzva“)</w:t>
      </w:r>
      <w:r w:rsidR="00F25FFC" w:rsidRPr="00DD4D57">
        <w:t>,</w:t>
      </w:r>
      <w:r w:rsidR="00F25FFC">
        <w:t xml:space="preserve"> </w:t>
      </w:r>
      <w:r w:rsidR="00700874" w:rsidRPr="00612B9F">
        <w:t>v aktuálním znění</w:t>
      </w:r>
      <w:bookmarkEnd w:id="0"/>
      <w:r w:rsidRPr="00347CB3">
        <w:t xml:space="preserve">, </w:t>
      </w:r>
      <w:r w:rsidR="005C5FBE">
        <w:t>priority</w:t>
      </w:r>
      <w:r w:rsidRPr="00347CB3">
        <w:t xml:space="preserve"> </w:t>
      </w:r>
      <w:r w:rsidR="00F25FFC">
        <w:t>1</w:t>
      </w:r>
      <w:r w:rsidR="00F25FFC" w:rsidRPr="000B7A37">
        <w:t xml:space="preserve"> </w:t>
      </w:r>
      <w:r w:rsidR="000B7A37">
        <w:t>–</w:t>
      </w:r>
      <w:r w:rsidR="000B7A37" w:rsidRPr="000B7A37">
        <w:t xml:space="preserve"> </w:t>
      </w:r>
      <w:r w:rsidR="00F25FFC">
        <w:t>Výzkum a vývoj</w:t>
      </w:r>
      <w:r w:rsidR="00F25FFC" w:rsidRPr="00347CB3">
        <w:t>,</w:t>
      </w:r>
      <w:r w:rsidR="00F25FFC">
        <w:t xml:space="preserve"> </w:t>
      </w:r>
      <w:r w:rsidR="00A32DAA">
        <w:t>podle</w:t>
      </w:r>
      <w:r w:rsidR="00F95158">
        <w:t xml:space="preserve"> </w:t>
      </w:r>
      <w:r w:rsidRPr="00347CB3">
        <w:t>§</w:t>
      </w:r>
      <w:r w:rsidR="009F220F">
        <w:t> </w:t>
      </w:r>
      <w:r w:rsidRPr="00347CB3">
        <w:t>14</w:t>
      </w:r>
      <w:r w:rsidR="007B0ABF">
        <w:t xml:space="preserve"> </w:t>
      </w:r>
      <w:r w:rsidR="00346488">
        <w:t>odst.</w:t>
      </w:r>
      <w:r w:rsidR="00A6697A">
        <w:t> </w:t>
      </w:r>
      <w:r w:rsidR="00346488">
        <w:t xml:space="preserve">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Pr="00964AEA">
        <w:t xml:space="preserve"> </w:t>
      </w:r>
      <w:r w:rsidR="00792B6D" w:rsidRPr="00F95BA2">
        <w:t>a</w:t>
      </w:r>
      <w:r w:rsidR="005A47B1" w:rsidRPr="00F95BA2">
        <w:t> </w:t>
      </w:r>
      <w:r w:rsidR="00792B6D" w:rsidRPr="00F95BA2">
        <w:t xml:space="preserve">podle zákona č. 130/2002 Sb., </w:t>
      </w:r>
      <w:r w:rsidR="00792B6D" w:rsidRPr="00617DF2">
        <w:t>o</w:t>
      </w:r>
      <w:r w:rsidR="00F25FFC" w:rsidRPr="00617DF2">
        <w:t> </w:t>
      </w:r>
      <w:r w:rsidR="00792B6D" w:rsidRPr="00617DF2">
        <w:t>podpoře výzkumu</w:t>
      </w:r>
      <w:r w:rsidR="00316826" w:rsidRPr="00617DF2">
        <w:t>, experimentálního</w:t>
      </w:r>
      <w:r w:rsidR="00E71084" w:rsidRPr="00617DF2">
        <w:t xml:space="preserve"> vývoje</w:t>
      </w:r>
      <w:r w:rsidR="00792B6D" w:rsidRPr="00617DF2">
        <w:t xml:space="preserve"> </w:t>
      </w:r>
      <w:r w:rsidR="00316826" w:rsidRPr="00617DF2">
        <w:t xml:space="preserve">a inovací </w:t>
      </w:r>
      <w:r w:rsidR="00792B6D" w:rsidRPr="00617DF2">
        <w:t>z</w:t>
      </w:r>
      <w:r w:rsidR="00417433" w:rsidRPr="00617DF2">
        <w:t> </w:t>
      </w:r>
      <w:r w:rsidR="00792B6D" w:rsidRPr="00617DF2">
        <w:t>veřejných prostředků a o změně některých souvisejících zákonů (zákon o podpoře výzkumu</w:t>
      </w:r>
      <w:r w:rsidR="00316826" w:rsidRPr="00617DF2">
        <w:t>, experimentálního</w:t>
      </w:r>
      <w:r w:rsidR="00E71084" w:rsidRPr="00617DF2">
        <w:t xml:space="preserve"> vývoje</w:t>
      </w:r>
      <w:r w:rsidR="00316826" w:rsidRPr="00617DF2">
        <w:t xml:space="preserve"> a inovací</w:t>
      </w:r>
      <w:r w:rsidR="00792B6D" w:rsidRPr="00617DF2">
        <w:t>)</w:t>
      </w:r>
      <w:r w:rsidR="00093D3F" w:rsidRPr="00617DF2">
        <w:t>,</w:t>
      </w:r>
      <w:r w:rsidR="00792B6D" w:rsidRPr="00617DF2">
        <w:t xml:space="preserve"> ve znění pozdějších předpisů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D76A6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1" w:name="_Ref224013392"/>
      <w:r>
        <w:t>Účel dotace</w:t>
      </w:r>
    </w:p>
    <w:p w14:paraId="194F15A8" w14:textId="6F46A82A" w:rsidR="008D492A" w:rsidRPr="00E87FA1" w:rsidRDefault="000E114A" w:rsidP="00E87FA1">
      <w:r w:rsidRPr="000469FB">
        <w:t>Účelem dotace je</w:t>
      </w:r>
      <w:r w:rsidR="000469FB" w:rsidRPr="00E87FA1">
        <w:t xml:space="preserve"> </w:t>
      </w:r>
      <w:r w:rsidR="00AF5632" w:rsidRPr="00E87FA1">
        <w:t xml:space="preserve">zkvalitňování strategického nastavení výzkumné organizace </w:t>
      </w:r>
      <w:r w:rsidR="000469FB" w:rsidRPr="00E87FA1">
        <w:t xml:space="preserve">a </w:t>
      </w:r>
      <w:r w:rsidR="00AF5632" w:rsidRPr="00E87FA1">
        <w:t xml:space="preserve">zvyšování úrovně vzdělávání </w:t>
      </w:r>
      <w:r w:rsidR="000469FB">
        <w:t xml:space="preserve">jejích </w:t>
      </w:r>
      <w:r w:rsidR="00AF5632" w:rsidRPr="00E87FA1">
        <w:t xml:space="preserve">zaměstnanců v tématech </w:t>
      </w:r>
      <w:r w:rsidR="000469FB">
        <w:t>určených</w:t>
      </w:r>
      <w:r w:rsidR="00AF5632" w:rsidRPr="00E87FA1">
        <w:t xml:space="preserve"> aktivitami </w:t>
      </w:r>
      <w:r w:rsidR="000469FB">
        <w:t>výzvy</w:t>
      </w:r>
      <w:r w:rsidR="00760390">
        <w:t xml:space="preserve"> zvolenými příjemcem</w:t>
      </w:r>
      <w:r w:rsidR="000469FB">
        <w:t>.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lastRenderedPageBreak/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Finanční rámec projektu</w:t>
      </w:r>
      <w:bookmarkEnd w:id="1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5D78001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BF5FD2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0F279464" w:rsidR="0062071A" w:rsidRPr="004847F3" w:rsidRDefault="0048093B" w:rsidP="00D33EB2">
            <w:pPr>
              <w:pStyle w:val="Tabulkatext"/>
              <w:jc w:val="center"/>
            </w:pPr>
            <w:r>
              <w:t>0</w:t>
            </w:r>
            <w:r w:rsidR="00D33EB2">
              <w:t>,00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118C997F" w:rsidR="0062071A" w:rsidRPr="004847F3" w:rsidRDefault="00D33EB2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0A85131" w:rsidR="00293D8C" w:rsidRPr="004847F3" w:rsidRDefault="00866885" w:rsidP="004847F3">
            <w:pPr>
              <w:pStyle w:val="Tabulkatext"/>
              <w:jc w:val="center"/>
            </w:pPr>
            <w:r>
              <w:t>10</w:t>
            </w:r>
            <w:r w:rsidR="009C32F4">
              <w:t>,00</w:t>
            </w:r>
            <w:r>
              <w:t xml:space="preserve"> %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6CA8E52F" w:rsidR="005E4F44" w:rsidRPr="004847F3" w:rsidRDefault="009C1C0D" w:rsidP="004847F3">
            <w:pPr>
              <w:pStyle w:val="Tabulkatext"/>
              <w:jc w:val="center"/>
            </w:pPr>
            <w:r>
              <w:t>0</w:t>
            </w:r>
            <w:r w:rsidR="00D33EB2">
              <w:t>,00</w:t>
            </w:r>
          </w:p>
        </w:tc>
        <w:tc>
          <w:tcPr>
            <w:tcW w:w="2268" w:type="dxa"/>
            <w:vAlign w:val="center"/>
          </w:tcPr>
          <w:p w14:paraId="4F05E17A" w14:textId="59E962E5" w:rsidR="005E4F44" w:rsidRPr="004847F3" w:rsidRDefault="00D33EB2" w:rsidP="004847F3">
            <w:pPr>
              <w:pStyle w:val="Tabulkatext"/>
              <w:jc w:val="center"/>
            </w:pPr>
            <w:r>
              <w:t>-</w:t>
            </w:r>
          </w:p>
          <w:p w14:paraId="4F05E17B" w14:textId="50D9E824" w:rsidR="005E4F44" w:rsidRPr="004847F3" w:rsidRDefault="00D33EB2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617DF2">
              <w:t>z toho z Evropského fondu pro regionální rozvoj</w:t>
            </w:r>
            <w:r w:rsidR="006C5D36" w:rsidRPr="00617DF2">
              <w:t xml:space="preserve"> (dále jen „EFRR“)</w:t>
            </w:r>
            <w:r w:rsidRPr="00617DF2">
              <w:t>,</w:t>
            </w:r>
            <w:r w:rsidR="00B5238B" w:rsidRPr="00295236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2D7A453C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46BED24F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6C5B4B66" w:rsidR="0008479C" w:rsidRDefault="00293D8C" w:rsidP="00F70A69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13661E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617DF2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617DF2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617DF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2F28CA44" w:rsidR="00432FF9" w:rsidRPr="00FE6BCB" w:rsidRDefault="0008479C" w:rsidP="00617DF2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E143D0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C81B34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F044B2">
        <w:rPr>
          <w:b w:val="0"/>
          <w:lang w:val="en-US"/>
        </w:rPr>
        <w:t>+.</w:t>
      </w:r>
    </w:p>
    <w:p w14:paraId="152DD308" w14:textId="77777777" w:rsidR="00C81B34" w:rsidRDefault="00432FF9" w:rsidP="00C81B34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F25FFC">
        <w:rPr>
          <w:b w:val="0"/>
        </w:rPr>
        <w:t>ex-ante</w:t>
      </w:r>
      <w:r w:rsidR="00F25FFC" w:rsidRPr="0041292C">
        <w:rPr>
          <w:b w:val="0"/>
        </w:rPr>
        <w:t>.</w:t>
      </w:r>
    </w:p>
    <w:p w14:paraId="1731372B" w14:textId="77777777" w:rsidR="00C81B34" w:rsidRDefault="00CF1ACB" w:rsidP="00C81B34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C81B34">
        <w:rPr>
          <w:b w:val="0"/>
        </w:rPr>
        <w:t>P</w:t>
      </w:r>
      <w:r w:rsidR="00432FF9" w:rsidRPr="00C81B34">
        <w:rPr>
          <w:b w:val="0"/>
        </w:rPr>
        <w:t xml:space="preserve">aušální sazba je stanovena na </w:t>
      </w:r>
      <w:r w:rsidR="00FD28FA" w:rsidRPr="00075478">
        <w:rPr>
          <w:b w:val="0"/>
        </w:rPr>
        <w:t xml:space="preserve">7 </w:t>
      </w:r>
      <w:r w:rsidR="00432FF9" w:rsidRPr="00075478">
        <w:rPr>
          <w:b w:val="0"/>
        </w:rPr>
        <w:t>%.</w:t>
      </w:r>
      <w:r w:rsidR="00C81B34" w:rsidRPr="00C81B34">
        <w:rPr>
          <w:b w:val="0"/>
        </w:rPr>
        <w:t xml:space="preserve"> </w:t>
      </w:r>
    </w:p>
    <w:p w14:paraId="4F05E1B3" w14:textId="52AB8FE8" w:rsidR="0078756E" w:rsidRPr="00F95BA2" w:rsidRDefault="008937FF" w:rsidP="00C81B34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</w:rPr>
      </w:pPr>
      <w:r w:rsidRPr="00F95BA2">
        <w:rPr>
          <w:b w:val="0"/>
          <w:bCs/>
        </w:rPr>
        <w:t>S</w:t>
      </w:r>
      <w:r w:rsidR="002863F2" w:rsidRPr="00F95BA2">
        <w:rPr>
          <w:b w:val="0"/>
          <w:bCs/>
        </w:rPr>
        <w:t xml:space="preserve">kutečná výše způsobilých paušálních nákladů se rovná součinu paušální sazby a </w:t>
      </w:r>
      <w:r w:rsidR="00087410" w:rsidRPr="00F95BA2">
        <w:rPr>
          <w:b w:val="0"/>
          <w:bCs/>
        </w:rPr>
        <w:t xml:space="preserve">sumy </w:t>
      </w:r>
      <w:r w:rsidR="00D73E6F" w:rsidRPr="00F95BA2">
        <w:rPr>
          <w:b w:val="0"/>
          <w:bCs/>
        </w:rPr>
        <w:t xml:space="preserve">schválených </w:t>
      </w:r>
      <w:r w:rsidR="00087410" w:rsidRPr="00F95BA2">
        <w:rPr>
          <w:b w:val="0"/>
          <w:bCs/>
        </w:rPr>
        <w:t xml:space="preserve">výdajů v kategorii </w:t>
      </w:r>
      <w:r w:rsidR="00087410" w:rsidRPr="00701515">
        <w:rPr>
          <w:b w:val="0"/>
          <w:bCs/>
        </w:rPr>
        <w:t xml:space="preserve">rozpočtu </w:t>
      </w:r>
      <w:r w:rsidR="00087410" w:rsidRPr="00075478">
        <w:rPr>
          <w:b w:val="0"/>
          <w:bCs/>
        </w:rPr>
        <w:t>1.1.1</w:t>
      </w:r>
      <w:r w:rsidR="002863F2" w:rsidRPr="00701515">
        <w:rPr>
          <w:b w:val="0"/>
          <w:bCs/>
        </w:rPr>
        <w:t>.</w:t>
      </w:r>
    </w:p>
    <w:p w14:paraId="4F05E1B9" w14:textId="77777777" w:rsidR="00DE44DD" w:rsidRPr="00F044B2" w:rsidRDefault="00DE44DD" w:rsidP="00D73E6F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lastRenderedPageBreak/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1ABCA787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B52D22">
        <w:t>, pro specifickou část též „</w:t>
      </w:r>
      <w:proofErr w:type="spellStart"/>
      <w:r w:rsidR="00B52D22">
        <w:t>SPpŽP</w:t>
      </w:r>
      <w:proofErr w:type="spellEnd"/>
      <w:r w:rsidR="00B52D22">
        <w:t>"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6020D7">
        <w:t xml:space="preserve"> 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17EAF5D6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6020D7" w:rsidRPr="00B348B1">
        <w:rPr>
          <w:b w:val="0"/>
          <w:bCs/>
        </w:rPr>
        <w:t xml:space="preserve">, </w:t>
      </w:r>
      <w:r w:rsidR="006020D7" w:rsidRPr="00B348B1">
        <w:rPr>
          <w:b w:val="0"/>
        </w:rPr>
        <w:t>která je nedílnou součástí tohoto Rozhodnutí</w:t>
      </w:r>
      <w:r w:rsidR="006020D7">
        <w:rPr>
          <w:b w:val="0"/>
        </w:rPr>
        <w:t>,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</w:t>
      </w:r>
      <w:r w:rsidR="006020D7">
        <w:rPr>
          <w:b w:val="0"/>
        </w:rPr>
        <w:t xml:space="preserve"> </w:t>
      </w:r>
      <w:r w:rsidR="007B5DD4" w:rsidRPr="00B348B1">
        <w:rPr>
          <w:b w:val="0"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0B650536" w14:textId="77777777" w:rsidR="00F02353" w:rsidRDefault="00903BBB" w:rsidP="00F02353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674418AB" w14:textId="51A17B23" w:rsidR="00E4176E" w:rsidRPr="004C241F" w:rsidRDefault="00E4176E" w:rsidP="00E4176E">
      <w:pPr>
        <w:pStyle w:val="Headline1proTP"/>
        <w:numPr>
          <w:ilvl w:val="1"/>
          <w:numId w:val="53"/>
        </w:numPr>
        <w:ind w:left="425" w:hanging="425"/>
        <w:jc w:val="both"/>
      </w:pPr>
      <w:bookmarkStart w:id="2" w:name="_Hlk143706685"/>
      <w:r w:rsidRPr="00F02353">
        <w:rPr>
          <w:b w:val="0"/>
        </w:rPr>
        <w:t xml:space="preserve">Příjemce je povinen realizovat vzdělávání zaměstnanců výzkumné organizace (členů odborného týmu nebo cílové skupiny) v tématech relevantních pro každou </w:t>
      </w:r>
      <w:r w:rsidR="00D05267">
        <w:rPr>
          <w:b w:val="0"/>
        </w:rPr>
        <w:t>zvolenou</w:t>
      </w:r>
      <w:r w:rsidRPr="00F02353">
        <w:rPr>
          <w:b w:val="0"/>
        </w:rPr>
        <w:t> povinně voliteln</w:t>
      </w:r>
      <w:r w:rsidR="00D05267">
        <w:rPr>
          <w:b w:val="0"/>
        </w:rPr>
        <w:t>ou nebo</w:t>
      </w:r>
      <w:r w:rsidR="00815215">
        <w:rPr>
          <w:b w:val="0"/>
        </w:rPr>
        <w:t xml:space="preserve"> voliteln</w:t>
      </w:r>
      <w:r w:rsidR="00D05267">
        <w:rPr>
          <w:b w:val="0"/>
        </w:rPr>
        <w:t>ou</w:t>
      </w:r>
      <w:r w:rsidRPr="00F02353">
        <w:rPr>
          <w:b w:val="0"/>
        </w:rPr>
        <w:t xml:space="preserve"> aktivit</w:t>
      </w:r>
      <w:r w:rsidR="00D05267">
        <w:rPr>
          <w:b w:val="0"/>
        </w:rPr>
        <w:t>u</w:t>
      </w:r>
      <w:r w:rsidRPr="00F02353">
        <w:rPr>
          <w:b w:val="0"/>
        </w:rPr>
        <w:t xml:space="preserve"> </w:t>
      </w:r>
      <w:r w:rsidR="007364A2">
        <w:rPr>
          <w:b w:val="0"/>
        </w:rPr>
        <w:t xml:space="preserve">z aktivit </w:t>
      </w:r>
      <w:r w:rsidRPr="00F02353">
        <w:rPr>
          <w:b w:val="0"/>
        </w:rPr>
        <w:t>uveden</w:t>
      </w:r>
      <w:r w:rsidR="007364A2">
        <w:rPr>
          <w:b w:val="0"/>
        </w:rPr>
        <w:t>ých</w:t>
      </w:r>
      <w:r w:rsidRPr="00F02353">
        <w:rPr>
          <w:b w:val="0"/>
        </w:rPr>
        <w:t xml:space="preserve"> v kap. 5.7.2 </w:t>
      </w:r>
      <w:r w:rsidR="00815215">
        <w:rPr>
          <w:b w:val="0"/>
        </w:rPr>
        <w:t>a 5.7.3</w:t>
      </w:r>
      <w:r w:rsidRPr="00F02353">
        <w:rPr>
          <w:b w:val="0"/>
        </w:rPr>
        <w:t xml:space="preserve"> </w:t>
      </w:r>
      <w:proofErr w:type="spellStart"/>
      <w:r w:rsidRPr="00F02353">
        <w:rPr>
          <w:b w:val="0"/>
        </w:rPr>
        <w:t>SPpŽP</w:t>
      </w:r>
      <w:proofErr w:type="spellEnd"/>
      <w:r w:rsidRPr="00F02353">
        <w:rPr>
          <w:b w:val="0"/>
        </w:rPr>
        <w:t>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4F05E1C2" w14:textId="38D800B9" w:rsidR="00DE44DD" w:rsidRPr="00CB4FCA" w:rsidRDefault="00DE44DD" w:rsidP="00E87FA1">
      <w:pPr>
        <w:pStyle w:val="Headline1proTP"/>
        <w:widowControl w:val="0"/>
        <w:numPr>
          <w:ilvl w:val="0"/>
          <w:numId w:val="0"/>
        </w:numPr>
        <w:jc w:val="both"/>
        <w:rPr>
          <w:b w:val="0"/>
          <w:color w:val="080808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  <w:r w:rsidR="00B8281E" w:rsidRPr="00E87FA1">
        <w:rPr>
          <w:b w:val="0"/>
          <w:color w:val="080808"/>
          <w:highlight w:val="lightGray"/>
        </w:rPr>
        <w:t xml:space="preserve">Příjemce </w:t>
      </w:r>
      <w:r w:rsidR="00A64072" w:rsidRPr="00E87FA1">
        <w:rPr>
          <w:b w:val="0"/>
          <w:color w:val="080808"/>
          <w:highlight w:val="lightGray"/>
        </w:rPr>
        <w:t xml:space="preserve">však </w:t>
      </w:r>
      <w:r w:rsidR="00B8281E" w:rsidRPr="00E87FA1">
        <w:rPr>
          <w:b w:val="0"/>
          <w:color w:val="080808"/>
          <w:highlight w:val="lightGray"/>
        </w:rPr>
        <w:t>je povinen</w:t>
      </w:r>
      <w:r w:rsidR="00030703" w:rsidRPr="00E87FA1">
        <w:rPr>
          <w:b w:val="0"/>
          <w:color w:val="080808"/>
          <w:highlight w:val="lightGray"/>
        </w:rPr>
        <w:t xml:space="preserve"> zajistit udržitelnost projektu </w:t>
      </w:r>
      <w:r w:rsidR="007D34CD" w:rsidRPr="00E87FA1">
        <w:rPr>
          <w:b w:val="0"/>
          <w:color w:val="080808"/>
          <w:highlight w:val="lightGray"/>
        </w:rPr>
        <w:t>v souladu s </w:t>
      </w:r>
      <w:proofErr w:type="spellStart"/>
      <w:r w:rsidR="00B8281E" w:rsidRPr="00E87FA1">
        <w:rPr>
          <w:b w:val="0"/>
          <w:color w:val="080808"/>
          <w:highlight w:val="lightGray"/>
        </w:rPr>
        <w:t>PpŽP</w:t>
      </w:r>
      <w:proofErr w:type="spellEnd"/>
      <w:r w:rsidR="00EF367E" w:rsidRPr="00E87FA1">
        <w:rPr>
          <w:b w:val="0"/>
          <w:color w:val="080808"/>
          <w:highlight w:val="lightGray"/>
        </w:rPr>
        <w:t>.</w:t>
      </w:r>
      <w:r w:rsidR="00A64072">
        <w:rPr>
          <w:rStyle w:val="Znakapoznpodarou"/>
          <w:b w:val="0"/>
          <w:color w:val="080808"/>
          <w:highlight w:val="lightGray"/>
        </w:rPr>
        <w:footnoteReference w:id="8"/>
      </w:r>
      <w:r w:rsidRPr="00A64072">
        <w:rPr>
          <w:b w:val="0"/>
          <w:color w:val="080808"/>
          <w:highlight w:val="lightGray"/>
          <w:vertAlign w:val="superscript"/>
        </w:rPr>
        <w:t xml:space="preserve"> </w:t>
      </w:r>
    </w:p>
    <w:bookmarkEnd w:id="2"/>
    <w:p w14:paraId="3EB6FA4B" w14:textId="104D27BC" w:rsidR="00D06388" w:rsidRDefault="00DE44DD" w:rsidP="00196073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p w14:paraId="4F05E1C5" w14:textId="24AC7443" w:rsidR="00DE44DD" w:rsidRPr="00DC1AD9" w:rsidRDefault="00DE44DD" w:rsidP="00DC1AD9">
      <w:pPr>
        <w:pStyle w:val="Headline2proTP"/>
        <w:keepNext w:val="0"/>
        <w:widowControl w:val="0"/>
        <w:numPr>
          <w:ilvl w:val="0"/>
          <w:numId w:val="77"/>
        </w:numPr>
        <w:spacing w:before="120"/>
        <w:ind w:left="425" w:hanging="425"/>
        <w:rPr>
          <w:b w:val="0"/>
          <w:highlight w:val="lightGray"/>
        </w:rPr>
      </w:pPr>
      <w:bookmarkStart w:id="4" w:name="_Ref465174751"/>
      <w:bookmarkEnd w:id="3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5" w:name="_Hlk125039065"/>
      <w:r w:rsidR="00145833" w:rsidRPr="00AA6692">
        <w:rPr>
          <w:rStyle w:val="Znakapoznpodarou"/>
          <w:b w:val="0"/>
          <w:highlight w:val="lightGray"/>
        </w:rPr>
        <w:footnoteReference w:id="9"/>
      </w:r>
      <w:bookmarkEnd w:id="5"/>
      <w:r w:rsidR="00765098" w:rsidRPr="00DC1AD9">
        <w:rPr>
          <w:b w:val="0"/>
          <w:highlight w:val="lightGray"/>
        </w:rPr>
        <w:t>:</w:t>
      </w:r>
      <w:bookmarkEnd w:id="4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617DF2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B13130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617DF2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266E22" w:rsidRDefault="009F7F0D" w:rsidP="00EF3624">
            <w:pPr>
              <w:pStyle w:val="Odstavecseseznamem"/>
              <w:numPr>
                <w:ilvl w:val="0"/>
                <w:numId w:val="45"/>
              </w:numPr>
              <w:spacing w:after="0"/>
              <w:ind w:left="1164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617DF2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266E22" w:rsidRDefault="009F7F0D" w:rsidP="00EF3624">
            <w:pPr>
              <w:pStyle w:val="Odstavecseseznamem"/>
              <w:numPr>
                <w:ilvl w:val="0"/>
                <w:numId w:val="45"/>
              </w:numPr>
              <w:spacing w:after="0"/>
              <w:ind w:left="1164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617DF2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266E22" w:rsidRDefault="009F7F0D" w:rsidP="00EF3624">
            <w:pPr>
              <w:pStyle w:val="Odstavecseseznamem"/>
              <w:widowControl w:val="0"/>
              <w:numPr>
                <w:ilvl w:val="0"/>
                <w:numId w:val="45"/>
              </w:numPr>
              <w:spacing w:after="0"/>
              <w:ind w:left="1164" w:hanging="357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1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B13130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2"/>
            </w:r>
          </w:p>
        </w:tc>
      </w:tr>
    </w:tbl>
    <w:p w14:paraId="161D9370" w14:textId="2BE5CD56" w:rsidR="008D35FA" w:rsidRDefault="004B0911" w:rsidP="00DC1AD9">
      <w:pPr>
        <w:pStyle w:val="Headline2proTP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</w:t>
      </w:r>
      <w:r w:rsidR="00EF3624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967BFD">
      <w:pPr>
        <w:pStyle w:val="Headline1proTP"/>
        <w:keepNext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2A0337BB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</w:t>
      </w:r>
      <w:r w:rsidR="00EF3624">
        <w:rPr>
          <w:b w:val="0"/>
        </w:rPr>
        <w:t xml:space="preserve"> </w:t>
      </w:r>
      <w:r w:rsidR="00254106">
        <w:rPr>
          <w:b w:val="0"/>
        </w:rPr>
        <w:t>Příloze č. 1</w:t>
      </w:r>
      <w:r w:rsidR="00995826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6" w:name="_Ref211603954"/>
      <w:r w:rsidR="000E649D">
        <w:rPr>
          <w:b w:val="0"/>
        </w:rPr>
        <w:t xml:space="preserve"> </w:t>
      </w:r>
    </w:p>
    <w:bookmarkEnd w:id="6"/>
    <w:p w14:paraId="4F05E1DA" w14:textId="5E0A84B8" w:rsidR="002B173C" w:rsidRPr="002A1BDE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AA6692">
        <w:rPr>
          <w:b w:val="0"/>
          <w:highlight w:val="lightGray"/>
        </w:rPr>
        <w:t>a udržitelnost projektu</w:t>
      </w:r>
      <w:r w:rsidR="00721C94" w:rsidRPr="00AA6692">
        <w:rPr>
          <w:rStyle w:val="Znakapoznpodarou"/>
          <w:b w:val="0"/>
          <w:highlight w:val="lightGray"/>
        </w:rPr>
        <w:footnoteReference w:id="13"/>
      </w:r>
      <w:r w:rsidR="00DA1279" w:rsidRPr="006F753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6DFF9DF4" w:rsidR="00D6258E" w:rsidRDefault="007D13C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4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0A7FD4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0A7FD4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967BFD">
      <w:pPr>
        <w:pStyle w:val="Headline2proTP"/>
        <w:keepNext w:val="0"/>
        <w:keepLines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46E1E0D0" w:rsidR="00242BC8" w:rsidRDefault="00072726" w:rsidP="00BE7CE1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7" w:name="_Ref456361754"/>
      <w:r w:rsidRPr="00072726">
        <w:rPr>
          <w:b w:val="0"/>
        </w:rPr>
        <w:t>Příjemce je povinen sledovat a vykazovat indikátory, které jsou uvedeny v</w:t>
      </w:r>
      <w:r w:rsidR="00C81B34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7"/>
    </w:p>
    <w:p w14:paraId="263C2A4E" w14:textId="5E0BC7D9" w:rsidR="005D1B51" w:rsidRPr="00514182" w:rsidRDefault="00480809" w:rsidP="00967BFD">
      <w:pPr>
        <w:pStyle w:val="Headline2proTP"/>
        <w:keepNext w:val="0"/>
        <w:numPr>
          <w:ilvl w:val="0"/>
          <w:numId w:val="87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1700AC1B" w:rsidR="005D1B51" w:rsidRPr="00F21443" w:rsidRDefault="00480809" w:rsidP="00967BFD">
      <w:pPr>
        <w:pStyle w:val="Headline2proTP"/>
        <w:keepNext w:val="0"/>
        <w:numPr>
          <w:ilvl w:val="0"/>
          <w:numId w:val="38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C81B34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</w:t>
      </w:r>
      <w:r w:rsidR="00C81B34">
        <w:rPr>
          <w:b w:val="0"/>
        </w:rPr>
        <w:t xml:space="preserve"> </w:t>
      </w:r>
      <w:r w:rsidR="00850233">
        <w:rPr>
          <w:b w:val="0"/>
        </w:rPr>
        <w:t>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273E1766" w:rsidR="00480809" w:rsidRDefault="00480809" w:rsidP="00967BFD">
      <w:pPr>
        <w:pStyle w:val="Headline2proTP"/>
        <w:keepNext w:val="0"/>
        <w:numPr>
          <w:ilvl w:val="0"/>
          <w:numId w:val="38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39E4366E" w14:textId="46E4B002" w:rsidR="004C2A82" w:rsidRPr="004C2A82" w:rsidRDefault="00937527" w:rsidP="0042610B">
      <w:pPr>
        <w:spacing w:before="60" w:after="0"/>
        <w:ind w:left="426"/>
        <w:rPr>
          <w:strike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9" w:name="_Hlk124233936"/>
      <w:r w:rsidR="00145833" w:rsidRPr="00AA6692">
        <w:rPr>
          <w:rStyle w:val="Znakapoznpodarou"/>
          <w:rFonts w:cs="Arial"/>
          <w:highlight w:val="lightGray"/>
        </w:rPr>
        <w:footnoteReference w:id="15"/>
      </w:r>
      <w:bookmarkEnd w:id="9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  <w:bookmarkStart w:id="10" w:name="_Hlk109808715"/>
      <w:bookmarkEnd w:id="8"/>
      <w:r w:rsidR="004C2A82" w:rsidRPr="004B2408">
        <w:rPr>
          <w:rFonts w:cs="Arial"/>
        </w:rPr>
        <w:t xml:space="preserve"> </w:t>
      </w:r>
      <w:bookmarkEnd w:id="10"/>
    </w:p>
    <w:p w14:paraId="4F05E1DE" w14:textId="6C00C3F5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11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0A7FD4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E6A95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>předložit</w:t>
      </w:r>
      <w:r w:rsidR="000A7FD4">
        <w:rPr>
          <w:b w:val="0"/>
        </w:rPr>
        <w:br/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6DB887FF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lastRenderedPageBreak/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4"/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46A7E3E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5577F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4E6A95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A75FA98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B5577F">
        <w:rPr>
          <w:b w:val="0"/>
        </w:rPr>
        <w:br/>
      </w:r>
      <w:r w:rsidR="00066C01" w:rsidRPr="00DC1954">
        <w:rPr>
          <w:b w:val="0"/>
        </w:rPr>
        <w:t>v</w:t>
      </w:r>
      <w:r w:rsidR="00B5577F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4E6A95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250C2B96" w:rsidR="00A35253" w:rsidRPr="005B7CAB" w:rsidRDefault="00A82302" w:rsidP="00617DF2">
      <w:pPr>
        <w:pStyle w:val="Headline2proTP"/>
        <w:keepNext w:val="0"/>
        <w:numPr>
          <w:ilvl w:val="1"/>
          <w:numId w:val="30"/>
        </w:numPr>
        <w:ind w:left="425" w:hanging="425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4E6A95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946AD10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4A56FF">
        <w:rPr>
          <w:b w:val="0"/>
          <w:spacing w:val="-4"/>
        </w:rPr>
        <w:t>,</w:t>
      </w:r>
      <w:r w:rsidR="00BB4F3C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481862B9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B5577F">
        <w:rPr>
          <w:b w:val="0"/>
        </w:rPr>
        <w:t xml:space="preserve">organizace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967BFD">
      <w:pPr>
        <w:pStyle w:val="Headline2proTP"/>
        <w:keepNext w:val="0"/>
        <w:numPr>
          <w:ilvl w:val="1"/>
          <w:numId w:val="3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779B7C6E" w14:textId="71F489A4" w:rsidR="000139EF" w:rsidRPr="00DF47E8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Cs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7" w:name="_Ref456361390"/>
      <w:bookmarkStart w:id="18" w:name="_Ref211584199"/>
    </w:p>
    <w:p w14:paraId="5FBB150B" w14:textId="571431E1" w:rsidR="00DF47E8" w:rsidRPr="00DF47E8" w:rsidRDefault="009315AC" w:rsidP="00DF47E8">
      <w:pPr>
        <w:pStyle w:val="Headline1proTP"/>
        <w:widowControl w:val="0"/>
        <w:numPr>
          <w:ilvl w:val="0"/>
          <w:numId w:val="108"/>
        </w:numPr>
        <w:autoSpaceDE w:val="0"/>
        <w:autoSpaceDN w:val="0"/>
        <w:adjustRightInd w:val="0"/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4D19D7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6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7"/>
      <w:r w:rsidR="00B028CD">
        <w:rPr>
          <w:b w:val="0"/>
        </w:rPr>
        <w:t xml:space="preserve"> </w:t>
      </w:r>
    </w:p>
    <w:p w14:paraId="0DD98D75" w14:textId="0F43D88F" w:rsidR="006533B2" w:rsidRDefault="006533B2" w:rsidP="00DF47E8">
      <w:pPr>
        <w:pStyle w:val="Default"/>
        <w:widowControl w:val="0"/>
        <w:numPr>
          <w:ilvl w:val="0"/>
          <w:numId w:val="108"/>
        </w:numPr>
        <w:tabs>
          <w:tab w:val="left" w:pos="426"/>
        </w:tabs>
        <w:spacing w:before="120"/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5E09F4" w:rsidRDefault="006533B2" w:rsidP="0042610B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9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6465E3C2" w:rsidR="006533B2" w:rsidRPr="005E09F4" w:rsidRDefault="006533B2" w:rsidP="00A53FDE">
      <w:pPr>
        <w:pStyle w:val="Default"/>
        <w:numPr>
          <w:ilvl w:val="7"/>
          <w:numId w:val="51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skutečných majitelích dodavatele, a sice jméno (jména) a příjmení, datum narození a</w:t>
      </w:r>
      <w:r w:rsidR="00967BF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2B679F84" w14:textId="77777777" w:rsidR="00A53FDE" w:rsidRDefault="006533B2" w:rsidP="0042610B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A53FDE">
        <w:rPr>
          <w:b w:val="0"/>
        </w:rPr>
        <w:t xml:space="preserve">, </w:t>
      </w:r>
    </w:p>
    <w:p w14:paraId="701F27CA" w14:textId="7DA12DD1" w:rsidR="006533B2" w:rsidRPr="00CA3189" w:rsidRDefault="00A53FDE" w:rsidP="001C082E">
      <w:pPr>
        <w:pStyle w:val="Headline1proTP"/>
        <w:widowControl w:val="0"/>
        <w:numPr>
          <w:ilvl w:val="7"/>
          <w:numId w:val="51"/>
        </w:numPr>
        <w:spacing w:before="60" w:after="0"/>
        <w:ind w:left="709" w:hanging="284"/>
        <w:jc w:val="both"/>
        <w:rPr>
          <w:b w:val="0"/>
        </w:rPr>
      </w:pPr>
      <w:r w:rsidRPr="005D503A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>
        <w:rPr>
          <w:b w:val="0"/>
          <w:bCs/>
        </w:rPr>
        <w:t>UR</w:t>
      </w:r>
      <w:r w:rsidRPr="005D503A">
        <w:rPr>
          <w:rStyle w:val="Znakapoznpodarou"/>
          <w:b w:val="0"/>
          <w:bCs/>
        </w:rPr>
        <w:footnoteReference w:id="17"/>
      </w:r>
      <w:r w:rsidRPr="005D503A">
        <w:rPr>
          <w:b w:val="0"/>
          <w:bCs/>
        </w:rPr>
        <w:t xml:space="preserve"> a o poddodavatelské smlouvě (datum smlouvy, název, referenční číslo a smluvní částka)</w:t>
      </w:r>
      <w:r w:rsidR="006533B2" w:rsidRPr="005E09F4">
        <w:rPr>
          <w:b w:val="0"/>
        </w:rPr>
        <w:t>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456361668"/>
      <w:bookmarkEnd w:id="18"/>
      <w:bookmarkEnd w:id="19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0"/>
    </w:p>
    <w:p w14:paraId="4F05E1F4" w14:textId="07AD6AE4" w:rsidR="00A82302" w:rsidRDefault="00A82302" w:rsidP="00A82302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1" w:name="_Ref211589877"/>
      <w:bookmarkStart w:id="22" w:name="_Ref456101762"/>
      <w:r w:rsidRPr="00347CB3">
        <w:t>Kontrola</w:t>
      </w:r>
      <w:bookmarkEnd w:id="21"/>
      <w:r w:rsidRPr="00347CB3">
        <w:t>/audit</w:t>
      </w:r>
      <w:bookmarkEnd w:id="22"/>
    </w:p>
    <w:p w14:paraId="4F05E1F6" w14:textId="53302516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3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8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30B8279B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F95BA2">
        <w:rPr>
          <w:b w:val="0"/>
          <w:highlight w:val="lightGray"/>
        </w:rPr>
        <w:t xml:space="preserve">, </w:t>
      </w:r>
      <w:r w:rsidRPr="004E6A95">
        <w:rPr>
          <w:b w:val="0"/>
          <w:highlight w:val="lightGray"/>
        </w:rPr>
        <w:t>r</w:t>
      </w:r>
      <w:r w:rsidRPr="00AA6692">
        <w:rPr>
          <w:b w:val="0"/>
          <w:highlight w:val="lightGray"/>
        </w:rPr>
        <w:t>esp. udržitelnosti projektu</w:t>
      </w:r>
      <w:r w:rsidR="00CB05B1" w:rsidRPr="00AA6692">
        <w:rPr>
          <w:rStyle w:val="Znakapoznpodarou"/>
          <w:b w:val="0"/>
          <w:highlight w:val="lightGray"/>
        </w:rPr>
        <w:footnoteReference w:id="19"/>
      </w:r>
      <w:r w:rsidRPr="000D79E5">
        <w:rPr>
          <w:b w:val="0"/>
        </w:rPr>
        <w:t xml:space="preserve">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3"/>
    </w:p>
    <w:p w14:paraId="4F05E1F8" w14:textId="41CD0702" w:rsidR="00A82302" w:rsidRPr="000D79E5" w:rsidRDefault="00A82302" w:rsidP="00594024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</w:t>
      </w:r>
      <w:r w:rsidR="00594024">
        <w:rPr>
          <w:b w:val="0"/>
        </w:rPr>
        <w:t xml:space="preserve"> </w:t>
      </w:r>
      <w:r w:rsidR="00753D6A" w:rsidRPr="00503494">
        <w:rPr>
          <w:b w:val="0"/>
        </w:rPr>
        <w:t>o</w:t>
      </w:r>
      <w:r w:rsidR="0021431C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</w:t>
      </w:r>
      <w:r w:rsidR="00BD5B83">
        <w:rPr>
          <w:b w:val="0"/>
        </w:rPr>
        <w:br/>
      </w:r>
      <w:r w:rsidR="00753D6A">
        <w:rPr>
          <w:b w:val="0"/>
        </w:rPr>
        <w:t>a</w:t>
      </w:r>
      <w:r w:rsidR="00BD5B83">
        <w:rPr>
          <w:b w:val="0"/>
        </w:rPr>
        <w:t xml:space="preserve"> </w:t>
      </w:r>
      <w:r w:rsidR="00753D6A">
        <w:rPr>
          <w:b w:val="0"/>
        </w:rPr>
        <w:t>o</w:t>
      </w:r>
      <w:r w:rsidR="00082339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 provedených kontrolách a auditech vkládá příjemce na záložku „Kontroly“ v ISKP21+.</w:t>
      </w:r>
      <w:r w:rsidR="00594024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4" w:name="_Ref211606163"/>
      <w:r w:rsidRPr="00347CB3">
        <w:t>Publicita</w:t>
      </w:r>
      <w:bookmarkEnd w:id="24"/>
    </w:p>
    <w:p w14:paraId="4F05E1FB" w14:textId="77777777" w:rsidR="00A82302" w:rsidRDefault="00A82302" w:rsidP="00142987">
      <w:pPr>
        <w:spacing w:before="120" w:after="0"/>
      </w:pPr>
      <w:r w:rsidRPr="00142987">
        <w:rPr>
          <w:spacing w:val="-4"/>
        </w:rPr>
        <w:t xml:space="preserve">Příjemce je povinen provádět propagaci projektu v souladu s </w:t>
      </w:r>
      <w:proofErr w:type="spellStart"/>
      <w:r w:rsidRPr="00142987">
        <w:rPr>
          <w:spacing w:val="-4"/>
        </w:rPr>
        <w:t>P</w:t>
      </w:r>
      <w:bookmarkStart w:id="25" w:name="_Ref211606165"/>
      <w:r w:rsidR="0068612D" w:rsidRPr="00142987">
        <w:rPr>
          <w:spacing w:val="-4"/>
        </w:rPr>
        <w:t>pŽP</w:t>
      </w:r>
      <w:proofErr w:type="spellEnd"/>
      <w:r w:rsidRPr="00347CB3">
        <w:t>.</w:t>
      </w:r>
    </w:p>
    <w:bookmarkEnd w:id="25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080D3C">
      <w:pPr>
        <w:pStyle w:val="Headline1proTP"/>
        <w:keepNext/>
        <w:widowControl w:val="0"/>
        <w:numPr>
          <w:ilvl w:val="0"/>
          <w:numId w:val="55"/>
        </w:numPr>
        <w:spacing w:before="240"/>
        <w:ind w:left="567" w:hanging="425"/>
      </w:pPr>
      <w:bookmarkStart w:id="26" w:name="_Ref211606175"/>
      <w:r w:rsidRPr="00347CB3">
        <w:lastRenderedPageBreak/>
        <w:t>Vypořádání projektu</w:t>
      </w:r>
      <w:bookmarkEnd w:id="26"/>
    </w:p>
    <w:p w14:paraId="397DD312" w14:textId="74C06818" w:rsidR="001C0B54" w:rsidRDefault="001C0B54" w:rsidP="00080D3C">
      <w:pPr>
        <w:rPr>
          <w:spacing w:val="-4"/>
        </w:rPr>
      </w:pPr>
      <w:r>
        <w:rPr>
          <w:spacing w:val="-4"/>
        </w:rPr>
        <w:t xml:space="preserve">Vratku </w:t>
      </w:r>
      <w:r w:rsidR="00BA51CE">
        <w:rPr>
          <w:spacing w:val="-4"/>
        </w:rPr>
        <w:t xml:space="preserve">nevyužitých </w:t>
      </w:r>
      <w:r>
        <w:rPr>
          <w:spacing w:val="-4"/>
        </w:rPr>
        <w:t xml:space="preserve">finančních prostředků </w:t>
      </w:r>
      <w:r w:rsidR="00BA51CE">
        <w:rPr>
          <w:spacing w:val="-4"/>
        </w:rPr>
        <w:t xml:space="preserve">dotace </w:t>
      </w:r>
      <w:r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0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1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7" w:name="_Ref211606682"/>
      <w:r w:rsidRPr="00347CB3">
        <w:t>Uchovávání dokumentů</w:t>
      </w:r>
      <w:bookmarkEnd w:id="27"/>
    </w:p>
    <w:p w14:paraId="4F05E201" w14:textId="14665742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B004C6">
        <w:t xml:space="preserve"> </w:t>
      </w:r>
      <w:r>
        <w:t>realizací projektu</w:t>
      </w:r>
      <w:r w:rsidR="00486C39">
        <w:t xml:space="preserve"> </w:t>
      </w:r>
      <w:r>
        <w:t>v</w:t>
      </w:r>
      <w:r w:rsidR="000F606E">
        <w:t xml:space="preserve"> </w:t>
      </w:r>
      <w:r>
        <w:t>souladu</w:t>
      </w:r>
      <w:r w:rsidR="000F606E">
        <w:br/>
      </w:r>
      <w:r w:rsidRPr="00347CB3">
        <w:t>s</w:t>
      </w:r>
      <w:r w:rsidR="000F606E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6DED247C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4D07A7">
        <w:rPr>
          <w:b w:val="0"/>
        </w:rPr>
        <w:t xml:space="preserve"> </w:t>
      </w:r>
      <w:r w:rsidR="000E7D94">
        <w:rPr>
          <w:b w:val="0"/>
        </w:rPr>
        <w:t>souladu s</w:t>
      </w:r>
      <w:r w:rsidR="00974527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458BA875" w:rsidR="0078231B" w:rsidRDefault="0078231B" w:rsidP="00974527">
      <w:pPr>
        <w:pStyle w:val="Headline2proTP"/>
        <w:keepNext w:val="0"/>
        <w:widowControl w:val="0"/>
        <w:numPr>
          <w:ilvl w:val="1"/>
          <w:numId w:val="33"/>
        </w:numPr>
        <w:ind w:left="567" w:hanging="527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8" w:name="_Ref261511254"/>
      <w:bookmarkStart w:id="29" w:name="_Hlk97304745"/>
      <w:r w:rsidRPr="00347CB3">
        <w:t>Péče o majetek</w:t>
      </w:r>
      <w:bookmarkEnd w:id="28"/>
      <w:r w:rsidRPr="00347CB3">
        <w:t xml:space="preserve"> </w:t>
      </w:r>
    </w:p>
    <w:p w14:paraId="2287A292" w14:textId="7C1903A3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0F606E">
        <w:t xml:space="preserve"> </w:t>
      </w:r>
      <w:r w:rsidRPr="00347CB3">
        <w:t>majetkem spolufinancovaným z</w:t>
      </w:r>
      <w:r w:rsidR="00B004C6">
        <w:t xml:space="preserve"> </w:t>
      </w:r>
      <w:r w:rsidRPr="00347CB3">
        <w:t>dotace s</w:t>
      </w:r>
      <w:r w:rsidR="00B004C6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3EFE9DC2" w:rsidR="00D77D60" w:rsidRDefault="00EE6DFB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AA6692">
        <w:rPr>
          <w:highlight w:val="lightGray"/>
        </w:rPr>
        <w:t>a </w:t>
      </w:r>
      <w:r w:rsidR="00354083">
        <w:rPr>
          <w:highlight w:val="lightGray"/>
        </w:rPr>
        <w:t xml:space="preserve">dále až do ukončení období </w:t>
      </w:r>
      <w:r w:rsidR="0029107F" w:rsidRPr="00AA6692">
        <w:rPr>
          <w:highlight w:val="lightGray"/>
        </w:rPr>
        <w:t>udržitelnosti</w:t>
      </w:r>
      <w:bookmarkStart w:id="30" w:name="_Hlk125274582"/>
      <w:r w:rsidR="0029107F" w:rsidRPr="00AA6692">
        <w:rPr>
          <w:rStyle w:val="Znakapoznpodarou"/>
          <w:highlight w:val="lightGray"/>
        </w:rPr>
        <w:footnoteReference w:id="22"/>
      </w:r>
      <w:bookmarkEnd w:id="30"/>
      <w:r w:rsidR="0029107F" w:rsidRPr="00347CB3">
        <w:t xml:space="preserve"> majetek spolufinancovaný byť i částečně z</w:t>
      </w:r>
      <w:r w:rsidR="004D07A7">
        <w:t xml:space="preserve"> 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2" w:name="_Hlk125274607"/>
      <w:r w:rsidR="0029107F">
        <w:rPr>
          <w:rStyle w:val="Znakapoznpodarou"/>
        </w:rPr>
        <w:footnoteReference w:id="23"/>
      </w:r>
      <w:bookmarkEnd w:id="32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0DB88DF4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</w:t>
      </w:r>
      <w:r w:rsidRPr="00E06FBD">
        <w:rPr>
          <w:rFonts w:asciiTheme="minorHAnsi" w:hAnsiTheme="minorHAnsi" w:cstheme="minorHAnsi"/>
        </w:rPr>
        <w:t xml:space="preserve">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4" w:name="_Hlk125274664"/>
      <w:r w:rsidRPr="00CA3189">
        <w:rPr>
          <w:rStyle w:val="Znakapoznpodarou"/>
          <w:rFonts w:asciiTheme="minorHAnsi" w:hAnsiTheme="minorHAnsi" w:cstheme="minorHAnsi"/>
        </w:rPr>
        <w:footnoteReference w:id="24"/>
      </w:r>
      <w:bookmarkEnd w:id="34"/>
    </w:p>
    <w:p w14:paraId="73FB776F" w14:textId="2A506819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E00607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29"/>
    </w:p>
    <w:p w14:paraId="39DF34C5" w14:textId="54544EFE" w:rsidR="00530210" w:rsidRPr="002D2877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546C11" w:rsidRPr="00974527">
        <w:t>www.opjak.cz</w:t>
      </w:r>
      <w:r w:rsidR="003A4B7F" w:rsidRPr="00974527">
        <w:rPr>
          <w:rFonts w:asciiTheme="minorHAnsi" w:hAnsiTheme="minorHAnsi" w:cstheme="minorHAnsi"/>
        </w:rPr>
        <w:t xml:space="preserve">, </w:t>
      </w:r>
      <w:r w:rsidR="00E11E7E" w:rsidRPr="00974527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974527">
        <w:rPr>
          <w:rFonts w:asciiTheme="minorHAnsi" w:hAnsiTheme="minorHAnsi" w:cstheme="minorHAnsi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B1EC1">
        <w:rPr>
          <w:rFonts w:asciiTheme="minorHAnsi" w:hAnsiTheme="minorHAnsi" w:cstheme="minorHAnsi"/>
          <w:highlight w:val="lightGray"/>
        </w:rPr>
        <w:t xml:space="preserve">a </w:t>
      </w:r>
      <w:r w:rsidR="003A4B7F" w:rsidRPr="00AA6692">
        <w:rPr>
          <w:rFonts w:asciiTheme="minorHAnsi" w:hAnsiTheme="minorHAnsi" w:cstheme="minorHAnsi"/>
          <w:highlight w:val="lightGray"/>
        </w:rPr>
        <w:t>udržitelnosti</w:t>
      </w:r>
      <w:bookmarkStart w:id="35" w:name="_Hlk138068799"/>
      <w:r w:rsidR="00696BC2">
        <w:rPr>
          <w:rStyle w:val="Znakapoznpodarou"/>
          <w:rFonts w:asciiTheme="minorHAnsi" w:hAnsiTheme="minorHAnsi" w:cstheme="minorHAnsi"/>
          <w:highlight w:val="lightGray"/>
        </w:rPr>
        <w:footnoteReference w:id="25"/>
      </w:r>
      <w:bookmarkEnd w:id="35"/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974527">
        <w:rPr>
          <w:rFonts w:asciiTheme="minorHAnsi" w:hAnsiTheme="minorHAnsi" w:cstheme="minorHAnsi"/>
        </w:rPr>
        <w:t>projektu</w:t>
      </w:r>
      <w:r w:rsidR="00F8253B" w:rsidRPr="00974527">
        <w:rPr>
          <w:rFonts w:asciiTheme="minorHAnsi" w:hAnsiTheme="minorHAnsi" w:cstheme="minorHAnsi"/>
        </w:rPr>
        <w:t>)</w:t>
      </w:r>
      <w:r w:rsidRPr="002D2877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833CEF">
      <w:pPr>
        <w:pStyle w:val="Headline1proTP"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0982BCCF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974527">
        <w:rPr>
          <w:b w:val="0"/>
        </w:rPr>
        <w:t>, nejde-li o výsledky činnosti ve</w:t>
      </w:r>
      <w:r w:rsidR="00171F02" w:rsidRPr="00974527">
        <w:rPr>
          <w:b w:val="0"/>
        </w:rPr>
        <w:t xml:space="preserve"> </w:t>
      </w:r>
      <w:r w:rsidR="00540168" w:rsidRPr="00974527">
        <w:rPr>
          <w:b w:val="0"/>
        </w:rPr>
        <w:t>výzkumu, vývoji a inovacích (dále jen „</w:t>
      </w:r>
      <w:proofErr w:type="spellStart"/>
      <w:r w:rsidR="00540168" w:rsidRPr="00974527">
        <w:rPr>
          <w:b w:val="0"/>
        </w:rPr>
        <w:t>VaVaI</w:t>
      </w:r>
      <w:proofErr w:type="spellEnd"/>
      <w:r w:rsidR="00540168" w:rsidRPr="00974527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</w:t>
      </w:r>
      <w:r w:rsidR="00971DCF" w:rsidRPr="00BF0EDD">
        <w:rPr>
          <w:b w:val="0"/>
        </w:rPr>
        <w:t>.</w:t>
      </w:r>
      <w:r w:rsidRPr="00BF0EDD">
        <w:rPr>
          <w:b w:val="0"/>
        </w:rPr>
        <w:t xml:space="preserve">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</w:t>
      </w:r>
      <w:r w:rsidR="004D07A7">
        <w:rPr>
          <w:b w:val="0"/>
        </w:rPr>
        <w:t> </w:t>
      </w:r>
      <w:r w:rsidRPr="00BF0EDD">
        <w:rPr>
          <w:b w:val="0"/>
        </w:rPr>
        <w:t>zněním licenční smlouvy připojit k dílu či jinému předmětu ochrany bez 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B62069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974527">
        <w:rPr>
          <w:b w:val="0"/>
        </w:rPr>
        <w:t>V</w:t>
      </w:r>
      <w:r w:rsidR="00171F02" w:rsidRPr="00974527">
        <w:rPr>
          <w:b w:val="0"/>
        </w:rPr>
        <w:t xml:space="preserve"> </w:t>
      </w:r>
      <w:r w:rsidR="0009018D" w:rsidRPr="00974527">
        <w:rPr>
          <w:b w:val="0"/>
        </w:rPr>
        <w:t>případě</w:t>
      </w:r>
      <w:r w:rsidR="003818E9" w:rsidRPr="00974527">
        <w:rPr>
          <w:b w:val="0"/>
        </w:rPr>
        <w:t xml:space="preserve"> výsledků činnosti ve </w:t>
      </w:r>
      <w:proofErr w:type="spellStart"/>
      <w:r w:rsidR="003818E9" w:rsidRPr="00974527">
        <w:rPr>
          <w:b w:val="0"/>
        </w:rPr>
        <w:t>VaVaI</w:t>
      </w:r>
      <w:proofErr w:type="spellEnd"/>
      <w:r w:rsidR="008B577A" w:rsidRPr="00974527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974527">
        <w:rPr>
          <w:b w:val="0"/>
        </w:rPr>
        <w:t>VaVaI</w:t>
      </w:r>
      <w:proofErr w:type="spellEnd"/>
      <w:r w:rsidR="008B577A" w:rsidRPr="00974527">
        <w:rPr>
          <w:b w:val="0"/>
        </w:rPr>
        <w:t xml:space="preserve"> alespoň částečně hrazené z této dotace, </w:t>
      </w:r>
      <w:r w:rsidR="0009018D" w:rsidRPr="00974527">
        <w:rPr>
          <w:b w:val="0"/>
        </w:rPr>
        <w:t xml:space="preserve">je příjemce povinen při ochraně práv a využití </w:t>
      </w:r>
      <w:r w:rsidR="008B577A" w:rsidRPr="00974527">
        <w:rPr>
          <w:b w:val="0"/>
        </w:rPr>
        <w:t>postupovat v souladu s platnou legislativou</w:t>
      </w:r>
      <w:bookmarkStart w:id="36" w:name="_Hlk125274805"/>
      <w:r w:rsidR="008B577A" w:rsidRPr="00F25FFC">
        <w:rPr>
          <w:b w:val="0"/>
          <w:vertAlign w:val="superscript"/>
        </w:rPr>
        <w:footnoteReference w:id="26"/>
      </w:r>
      <w:bookmarkEnd w:id="36"/>
      <w:r w:rsidR="0009018D" w:rsidRPr="00974527">
        <w:rPr>
          <w:b w:val="0"/>
        </w:rPr>
        <w:t>.</w:t>
      </w:r>
    </w:p>
    <w:p w14:paraId="716789D1" w14:textId="1940A8FB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DA7986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77777777" w:rsidR="002F2814" w:rsidRPr="001B102B" w:rsidRDefault="002F2814" w:rsidP="004801D2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1032AA" w:rsidRPr="00DC1AD9">
        <w:rPr>
          <w:rFonts w:asciiTheme="minorHAnsi" w:hAnsiTheme="minorHAnsi"/>
          <w:b w:val="0"/>
          <w:highlight w:val="lightGray"/>
        </w:rPr>
        <w:t>,</w:t>
      </w:r>
      <w:r w:rsidR="00D938E3" w:rsidRPr="00DC1AD9">
        <w:rPr>
          <w:rFonts w:asciiTheme="minorHAnsi" w:hAnsiTheme="minorHAnsi"/>
          <w:b w:val="0"/>
          <w:highlight w:val="lightGray"/>
        </w:rPr>
        <w:t xml:space="preserve"> </w:t>
      </w:r>
      <w:r w:rsidR="00D938E3" w:rsidRPr="00AA6692">
        <w:rPr>
          <w:rFonts w:asciiTheme="minorHAnsi" w:hAnsiTheme="minorHAnsi"/>
          <w:b w:val="0"/>
          <w:highlight w:val="lightGray"/>
        </w:rPr>
        <w:t xml:space="preserve">nebo 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do schválení závěrečné zprávy o </w:t>
      </w:r>
      <w:r w:rsidR="00D938E3" w:rsidRPr="00AA6692">
        <w:rPr>
          <w:rFonts w:asciiTheme="minorHAnsi" w:hAnsiTheme="minorHAnsi"/>
          <w:b w:val="0"/>
          <w:highlight w:val="lightGray"/>
        </w:rPr>
        <w:t>udržitelnosti</w:t>
      </w:r>
      <w:r w:rsidR="00132684" w:rsidRPr="00AA6692">
        <w:rPr>
          <w:rFonts w:asciiTheme="minorHAnsi" w:hAnsiTheme="minorHAnsi"/>
          <w:b w:val="0"/>
          <w:highlight w:val="lightGray"/>
        </w:rPr>
        <w:t xml:space="preserve"> projektu</w:t>
      </w:r>
      <w:r w:rsidR="00C54CD9" w:rsidRPr="00AA6692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bookmarkStart w:id="37" w:name="_Hlk125274856"/>
      <w:r w:rsidR="00D938E3" w:rsidRPr="00AA6692"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27"/>
      </w:r>
      <w:bookmarkEnd w:id="37"/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FE0036">
      <w:pPr>
        <w:pStyle w:val="Headline1proTP"/>
        <w:keepNext/>
        <w:numPr>
          <w:ilvl w:val="0"/>
          <w:numId w:val="102"/>
        </w:numPr>
        <w:spacing w:before="240"/>
        <w:ind w:left="567" w:hanging="425"/>
      </w:pPr>
      <w:r w:rsidRPr="00347CB3">
        <w:t>Veřejná podpora</w:t>
      </w:r>
      <w:bookmarkStart w:id="38" w:name="_Hlk125274875"/>
      <w:r w:rsidR="000A0C4D" w:rsidRPr="00833CEF">
        <w:rPr>
          <w:rStyle w:val="Znakapoznpodarou"/>
          <w:b w:val="0"/>
          <w:bCs/>
        </w:rPr>
        <w:footnoteReference w:id="28"/>
      </w:r>
      <w:bookmarkEnd w:id="38"/>
    </w:p>
    <w:p w14:paraId="4F05E20D" w14:textId="7FA8A1E9" w:rsidR="008C2763" w:rsidRPr="008118B2" w:rsidRDefault="008C2763" w:rsidP="00656C25">
      <w:pPr>
        <w:pStyle w:val="Headline2proTP"/>
        <w:keepNext w:val="0"/>
        <w:numPr>
          <w:ilvl w:val="0"/>
          <w:numId w:val="103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17710964" w14:textId="09DEB298" w:rsidR="00FA55F6" w:rsidRPr="00FA55F6" w:rsidRDefault="00D977A6" w:rsidP="00656C25">
      <w:pPr>
        <w:pStyle w:val="Headline2proTP"/>
        <w:keepNext w:val="0"/>
        <w:numPr>
          <w:ilvl w:val="0"/>
          <w:numId w:val="103"/>
        </w:numPr>
        <w:ind w:left="567" w:hanging="567"/>
      </w:pPr>
      <w:r w:rsidRPr="00FA55F6">
        <w:rPr>
          <w:rFonts w:asciiTheme="minorHAnsi" w:hAnsiTheme="minorHAnsi"/>
          <w:b w:val="0"/>
        </w:rPr>
        <w:t>V případě, kdy</w:t>
      </w:r>
      <w:r w:rsidR="0067101D" w:rsidRPr="00FA55F6">
        <w:rPr>
          <w:rFonts w:asciiTheme="minorHAnsi" w:hAnsiTheme="minorHAnsi"/>
          <w:b w:val="0"/>
        </w:rPr>
        <w:t xml:space="preserve"> Evropská komise</w:t>
      </w:r>
      <w:r w:rsidRPr="00FA55F6">
        <w:rPr>
          <w:rFonts w:asciiTheme="minorHAnsi" w:hAnsiTheme="minorHAnsi"/>
          <w:b w:val="0"/>
        </w:rPr>
        <w:t xml:space="preserve"> přijme rozhodnutí</w:t>
      </w:r>
      <w:r w:rsidR="00292F7D" w:rsidRPr="00FA55F6">
        <w:rPr>
          <w:rFonts w:asciiTheme="minorHAnsi" w:hAnsiTheme="minorHAnsi"/>
          <w:b w:val="0"/>
        </w:rPr>
        <w:t>, že opatření představuje veřejnou podporu, která není slučitelná s</w:t>
      </w:r>
      <w:r w:rsidRPr="00FA55F6">
        <w:rPr>
          <w:rFonts w:asciiTheme="minorHAnsi" w:hAnsiTheme="minorHAnsi"/>
          <w:b w:val="0"/>
        </w:rPr>
        <w:t>e společným</w:t>
      </w:r>
      <w:r w:rsidR="00292F7D" w:rsidRPr="00FA55F6">
        <w:rPr>
          <w:rFonts w:asciiTheme="minorHAnsi" w:hAnsiTheme="minorHAnsi"/>
          <w:b w:val="0"/>
        </w:rPr>
        <w:t xml:space="preserve"> trhem, a rozhodne</w:t>
      </w:r>
      <w:r w:rsidR="0067101D" w:rsidRPr="00FA55F6">
        <w:rPr>
          <w:rFonts w:asciiTheme="minorHAnsi" w:hAnsiTheme="minorHAnsi"/>
          <w:b w:val="0"/>
        </w:rPr>
        <w:t xml:space="preserve"> o navrácení nebo o prozatímním navrácení veřejné podpory, je příjemce povinen </w:t>
      </w:r>
      <w:r w:rsidRPr="00FA55F6">
        <w:rPr>
          <w:rFonts w:asciiTheme="minorHAnsi" w:hAnsiTheme="minorHAnsi"/>
          <w:b w:val="0"/>
        </w:rPr>
        <w:t>tuto</w:t>
      </w:r>
      <w:r w:rsidR="0067101D" w:rsidRPr="00FA55F6">
        <w:rPr>
          <w:rFonts w:asciiTheme="minorHAnsi" w:hAnsiTheme="minorHAnsi"/>
          <w:b w:val="0"/>
        </w:rPr>
        <w:t xml:space="preserve"> veřejnou podporu </w:t>
      </w:r>
      <w:r w:rsidR="00292F7D" w:rsidRPr="00FA55F6">
        <w:rPr>
          <w:rFonts w:asciiTheme="minorHAnsi" w:hAnsiTheme="minorHAnsi"/>
          <w:b w:val="0"/>
        </w:rPr>
        <w:t xml:space="preserve">ve výši </w:t>
      </w:r>
      <w:r w:rsidRPr="00FA55F6">
        <w:rPr>
          <w:rFonts w:asciiTheme="minorHAnsi" w:hAnsiTheme="minorHAnsi"/>
          <w:b w:val="0"/>
        </w:rPr>
        <w:t xml:space="preserve">stanovené v rozhodnutí Evropské komise, a to včetně stanovených úroků, </w:t>
      </w:r>
      <w:r w:rsidR="0067101D" w:rsidRPr="00FA55F6">
        <w:rPr>
          <w:rFonts w:asciiTheme="minorHAnsi" w:hAnsiTheme="minorHAnsi"/>
          <w:b w:val="0"/>
        </w:rPr>
        <w:t>vrátit Poskytovateli dotace.</w:t>
      </w:r>
    </w:p>
    <w:p w14:paraId="689FC5B1" w14:textId="14E45A83" w:rsidR="00396EA5" w:rsidRDefault="00495B2F" w:rsidP="00656C25">
      <w:pPr>
        <w:pStyle w:val="Odstavecseseznamem"/>
        <w:numPr>
          <w:ilvl w:val="0"/>
          <w:numId w:val="103"/>
        </w:numPr>
        <w:spacing w:after="120"/>
        <w:ind w:left="567" w:hanging="567"/>
        <w:contextualSpacing w:val="0"/>
      </w:pPr>
      <w:r w:rsidRPr="007156A3">
        <w:rPr>
          <w:spacing w:val="-4"/>
        </w:rPr>
        <w:lastRenderedPageBreak/>
        <w:t>Podpora poskytnutá na realizaci projektu nemá charakter veřejné podpory ve smyslu čl.</w:t>
      </w:r>
      <w:r w:rsidR="00E179CC" w:rsidRPr="007156A3">
        <w:rPr>
          <w:spacing w:val="-4"/>
        </w:rPr>
        <w:t> </w:t>
      </w:r>
      <w:r w:rsidRPr="007156A3">
        <w:rPr>
          <w:spacing w:val="-4"/>
        </w:rPr>
        <w:t>107</w:t>
      </w:r>
      <w:r w:rsidR="000368C3" w:rsidRPr="007156A3">
        <w:rPr>
          <w:spacing w:val="-4"/>
        </w:rPr>
        <w:t xml:space="preserve"> odst. 1</w:t>
      </w:r>
      <w:r w:rsidR="007156A3">
        <w:t xml:space="preserve"> </w:t>
      </w:r>
      <w:r w:rsidRPr="00347CB3">
        <w:t>Smlouvy o fungování E</w:t>
      </w:r>
      <w:r w:rsidR="00E83B09">
        <w:t>U</w:t>
      </w:r>
      <w:r w:rsidRPr="00347CB3">
        <w:t xml:space="preserve">. </w:t>
      </w:r>
      <w:r w:rsidR="00396EA5">
        <w:rPr>
          <w:rFonts w:asciiTheme="minorHAnsi" w:hAnsiTheme="minorHAnsi"/>
        </w:rPr>
        <w:t xml:space="preserve">Příjemce je povinen postupovat v souladu s podmínkami uvedenými v kap. </w:t>
      </w:r>
      <w:r w:rsidR="00396EA5" w:rsidRPr="00CB6D1D">
        <w:rPr>
          <w:rFonts w:asciiTheme="minorHAnsi" w:hAnsiTheme="minorHAnsi"/>
        </w:rPr>
        <w:t>7.6.</w:t>
      </w:r>
      <w:r w:rsidR="00396EA5">
        <w:rPr>
          <w:rFonts w:asciiTheme="minorHAnsi" w:hAnsiTheme="minorHAnsi"/>
        </w:rPr>
        <w:t>3</w:t>
      </w:r>
      <w:r w:rsidR="00396EA5" w:rsidRPr="00CB6D1D">
        <w:rPr>
          <w:rFonts w:asciiTheme="minorHAnsi" w:hAnsiTheme="minorHAnsi"/>
        </w:rPr>
        <w:t xml:space="preserve"> </w:t>
      </w:r>
      <w:proofErr w:type="spellStart"/>
      <w:r w:rsidR="00396EA5" w:rsidRPr="00CB6D1D">
        <w:rPr>
          <w:rFonts w:asciiTheme="minorHAnsi" w:hAnsiTheme="minorHAnsi"/>
        </w:rPr>
        <w:t>Pp</w:t>
      </w:r>
      <w:r w:rsidR="00396EA5">
        <w:rPr>
          <w:rFonts w:asciiTheme="minorHAnsi" w:hAnsiTheme="minorHAnsi"/>
        </w:rPr>
        <w:t>ŽP</w:t>
      </w:r>
      <w:proofErr w:type="spellEnd"/>
      <w:r w:rsidR="00396EA5">
        <w:rPr>
          <w:rFonts w:asciiTheme="minorHAnsi" w:hAnsiTheme="minorHAnsi"/>
        </w:rPr>
        <w:t>.</w:t>
      </w:r>
    </w:p>
    <w:p w14:paraId="4F05E212" w14:textId="6761A2D8" w:rsidR="00495B2F" w:rsidRPr="00347CB3" w:rsidRDefault="00495B2F" w:rsidP="00676F26">
      <w:pPr>
        <w:pStyle w:val="Odstavecseseznamem"/>
        <w:widowControl w:val="0"/>
        <w:spacing w:before="120" w:after="0"/>
        <w:ind w:left="567"/>
        <w:contextualSpacing w:val="0"/>
      </w:pPr>
      <w:r w:rsidRPr="00143369">
        <w:t>Příjemce</w:t>
      </w:r>
      <w:r w:rsidRPr="00396EA5">
        <w:t xml:space="preserve"> </w:t>
      </w:r>
      <w:r w:rsidRPr="004F08CF">
        <w:rPr>
          <w:spacing w:val="-4"/>
        </w:rPr>
        <w:t>musí splňovat všechny níže uvedené podmínky vycházející z definice organizace pro výzkum</w:t>
      </w:r>
      <w:r w:rsidRPr="00FB69D4">
        <w:t xml:space="preserve"> a šíření znalostí dle definice Rámce pro státní podporu výzkumu, vývoje a</w:t>
      </w:r>
      <w:r w:rsidR="00E179CC" w:rsidRPr="00FB69D4">
        <w:t> </w:t>
      </w:r>
      <w:r w:rsidRPr="00FB69D4">
        <w:t>inovací</w:t>
      </w:r>
      <w:r w:rsidR="00FB69D4">
        <w:rPr>
          <w:rStyle w:val="Znakapoznpodarou"/>
        </w:rPr>
        <w:footnoteReference w:id="29"/>
      </w:r>
      <w:r w:rsidRPr="00347CB3">
        <w:t xml:space="preserve"> (dále </w:t>
      </w:r>
      <w:r w:rsidR="00FB69D4">
        <w:t>jen</w:t>
      </w:r>
      <w:r w:rsidRPr="00347CB3">
        <w:t xml:space="preserve"> „Rámec</w:t>
      </w:r>
      <w:r w:rsidR="00F924BD">
        <w:t xml:space="preserve"> </w:t>
      </w:r>
      <w:proofErr w:type="spellStart"/>
      <w:r w:rsidR="00F924BD">
        <w:t>VaVaI</w:t>
      </w:r>
      <w:proofErr w:type="spellEnd"/>
      <w:r w:rsidRPr="00347CB3">
        <w:t>“)</w:t>
      </w:r>
      <w:r w:rsidR="000602D3">
        <w:t>,</w:t>
      </w:r>
      <w:r w:rsidRPr="00347CB3">
        <w:t xml:space="preserve"> a </w:t>
      </w:r>
      <w:r w:rsidR="000602D3">
        <w:t>to</w:t>
      </w:r>
      <w:r w:rsidRPr="00347CB3">
        <w:t xml:space="preserve"> po</w:t>
      </w:r>
      <w:r w:rsidR="0088233D">
        <w:t> </w:t>
      </w:r>
      <w:r w:rsidRPr="00347CB3">
        <w:t xml:space="preserve">celou dobu realizace projektu </w:t>
      </w:r>
      <w:r w:rsidR="00DA7986">
        <w:rPr>
          <w:highlight w:val="lightGray"/>
        </w:rPr>
        <w:t>a dále až do ukončení období</w:t>
      </w:r>
      <w:r w:rsidRPr="004F08CF">
        <w:rPr>
          <w:highlight w:val="lightGray"/>
        </w:rPr>
        <w:t xml:space="preserve"> udržitelnosti</w:t>
      </w:r>
      <w:r w:rsidR="008A5B49" w:rsidRPr="00AA6692">
        <w:rPr>
          <w:rStyle w:val="Znakapoznpodarou"/>
          <w:highlight w:val="lightGray"/>
        </w:rPr>
        <w:footnoteReference w:id="30"/>
      </w:r>
      <w:r w:rsidRPr="00347CB3">
        <w:t>.</w:t>
      </w:r>
    </w:p>
    <w:p w14:paraId="4F05E213" w14:textId="6A8AF105" w:rsidR="00495B2F" w:rsidRPr="00347CB3" w:rsidRDefault="00495B2F" w:rsidP="00676F26">
      <w:pPr>
        <w:pStyle w:val="Odstavecseseznamem"/>
        <w:numPr>
          <w:ilvl w:val="0"/>
          <w:numId w:val="4"/>
        </w:numPr>
        <w:spacing w:before="120" w:after="120"/>
        <w:ind w:left="992" w:hanging="425"/>
        <w:contextualSpacing w:val="0"/>
      </w:pPr>
      <w:r w:rsidRPr="004C69E4">
        <w:rPr>
          <w:spacing w:val="-4"/>
        </w:rPr>
        <w:t xml:space="preserve">Hlavním cílem </w:t>
      </w:r>
      <w:r w:rsidR="006D4D2D">
        <w:t>p</w:t>
      </w:r>
      <w:r w:rsidRPr="00143369">
        <w:t>říjemce</w:t>
      </w:r>
      <w:r w:rsidRPr="004C69E4">
        <w:rPr>
          <w:spacing w:val="-4"/>
        </w:rPr>
        <w:t xml:space="preserve"> je provádět nezávisle základní výzkum, průmyslový vývoj</w:t>
      </w:r>
      <w:r w:rsidRPr="00347CB3">
        <w:t xml:space="preserve"> nebo experimentální vývoj nebo veřejně šířit výsledky těchto činností formou výuky, publikací nebo transferu znalostí.</w:t>
      </w:r>
    </w:p>
    <w:p w14:paraId="4F05E214" w14:textId="1C4884AC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Podniky (tedy subjekty vykonávající hospodářskou činnost), které mohou uplatňovat rozhodující vliv na </w:t>
      </w:r>
      <w:r w:rsidR="006D4D2D">
        <w:t>p</w:t>
      </w:r>
      <w:r w:rsidRPr="00143369">
        <w:t>říjemce</w:t>
      </w:r>
      <w:r w:rsidRPr="00347CB3">
        <w:t xml:space="preserve">, např. jako podílníci nebo členové, nesmí mít přednostní přístup k výsledkům, jichž </w:t>
      </w:r>
      <w:r w:rsidR="006D4D2D">
        <w:t>p</w:t>
      </w:r>
      <w:r w:rsidRPr="00143369">
        <w:t>říjemce</w:t>
      </w:r>
      <w:r w:rsidRPr="00347CB3">
        <w:t xml:space="preserve"> dosáhl.</w:t>
      </w:r>
    </w:p>
    <w:p w14:paraId="4F05E215" w14:textId="3FF6C3F0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>Vykonává-li tento subjekt rovněž hospodářské činnosti, je třeba pro financování, náklady</w:t>
      </w:r>
      <w:r w:rsidR="00283063">
        <w:br/>
      </w:r>
      <w:r w:rsidRPr="00347CB3">
        <w:t>a pří</w:t>
      </w:r>
      <w:r w:rsidR="007156A3">
        <w:softHyphen/>
      </w:r>
      <w:r w:rsidRPr="00347CB3">
        <w:t>jmy těchto hospodářských činností vést oddělené účetnictví, aby nedocházelo</w:t>
      </w:r>
      <w:r w:rsidR="00080D3C">
        <w:br/>
      </w:r>
      <w:r w:rsidRPr="00347CB3">
        <w:t>k</w:t>
      </w:r>
      <w:r w:rsidR="00283063">
        <w:t xml:space="preserve"> </w:t>
      </w:r>
      <w:r w:rsidRPr="00347CB3">
        <w:t xml:space="preserve">financování hospodářských činností z činností </w:t>
      </w:r>
      <w:proofErr w:type="spellStart"/>
      <w:r w:rsidRPr="00347CB3">
        <w:t>nehospodářských</w:t>
      </w:r>
      <w:proofErr w:type="spellEnd"/>
      <w:r w:rsidRPr="00347CB3">
        <w:t xml:space="preserve">. Oddělená účetní evidence musí být vedena tak, aby </w:t>
      </w:r>
      <w:r w:rsidR="006D4D2D">
        <w:t>p</w:t>
      </w:r>
      <w:r w:rsidRPr="00347CB3">
        <w:t>říjemce mohl kdykoliv poskytnout věrohodné, aktuální a prokazatelné údaje o</w:t>
      </w:r>
      <w:r w:rsidR="00417433">
        <w:t> </w:t>
      </w:r>
      <w:r w:rsidRPr="00347CB3">
        <w:t>hospodaření s prostředky týkajícími se projektu.</w:t>
      </w:r>
    </w:p>
    <w:p w14:paraId="4F05E216" w14:textId="13AB5030" w:rsidR="00495B2F" w:rsidRPr="00347CB3" w:rsidRDefault="00495B2F" w:rsidP="00CB6D1D">
      <w:pPr>
        <w:pStyle w:val="Odstavecseseznamem"/>
        <w:numPr>
          <w:ilvl w:val="0"/>
          <w:numId w:val="4"/>
        </w:numPr>
        <w:spacing w:after="120"/>
        <w:ind w:left="993" w:hanging="426"/>
        <w:contextualSpacing w:val="0"/>
      </w:pPr>
      <w:r w:rsidRPr="00347CB3">
        <w:t xml:space="preserve">Povinnosti uvedené pod body a) až c) musí mít </w:t>
      </w:r>
      <w:r w:rsidR="006D4D2D">
        <w:t>p</w:t>
      </w:r>
      <w:r w:rsidRPr="00143369">
        <w:t>říjemce</w:t>
      </w:r>
      <w:r w:rsidRPr="00347CB3">
        <w:t xml:space="preserve"> zakotveny ve vnitřních předpisech (např. stanovy, zřizova</w:t>
      </w:r>
      <w:r w:rsidR="00103197">
        <w:t>cí</w:t>
      </w:r>
      <w:r w:rsidRPr="00347CB3">
        <w:t xml:space="preserve"> listina</w:t>
      </w:r>
      <w:r w:rsidR="00486C39">
        <w:t xml:space="preserve"> apod.</w:t>
      </w:r>
      <w:r w:rsidRPr="00347CB3">
        <w:t>)</w:t>
      </w:r>
      <w:r w:rsidR="00D15AD3" w:rsidRPr="00D15AD3">
        <w:t xml:space="preserve">, a to po celou dobu trvání </w:t>
      </w:r>
      <w:r w:rsidR="00283063">
        <w:rPr>
          <w:highlight w:val="lightGray"/>
        </w:rPr>
        <w:t>až do ukončení období</w:t>
      </w:r>
      <w:r w:rsidR="00283063" w:rsidRPr="00AA6692">
        <w:rPr>
          <w:highlight w:val="lightGray"/>
        </w:rPr>
        <w:t xml:space="preserve"> </w:t>
      </w:r>
      <w:r w:rsidR="00D15AD3" w:rsidRPr="00AA6692">
        <w:rPr>
          <w:highlight w:val="lightGray"/>
        </w:rPr>
        <w:t>udržitelnosti</w:t>
      </w:r>
      <w:r w:rsidR="00D15AD3" w:rsidRPr="00AA6692">
        <w:rPr>
          <w:highlight w:val="lightGray"/>
          <w:vertAlign w:val="superscript"/>
        </w:rPr>
        <w:footnoteReference w:id="31"/>
      </w:r>
      <w:r w:rsidR="00D15AD3" w:rsidRPr="00D15AD3">
        <w:t xml:space="preserve"> projektu.</w:t>
      </w:r>
    </w:p>
    <w:p w14:paraId="4F05E217" w14:textId="439ADF2A" w:rsidR="00495B2F" w:rsidRPr="00347CB3" w:rsidRDefault="00495B2F" w:rsidP="00915860">
      <w:pPr>
        <w:widowControl w:val="0"/>
        <w:ind w:left="567"/>
      </w:pPr>
      <w:r w:rsidRPr="00347CB3">
        <w:t>Prostředky z</w:t>
      </w:r>
      <w:r w:rsidR="000327D8">
        <w:t xml:space="preserve"> </w:t>
      </w:r>
      <w:r w:rsidRPr="00347CB3">
        <w:t xml:space="preserve">dotace mohou být použity pro potřeby </w:t>
      </w:r>
      <w:proofErr w:type="spellStart"/>
      <w:r w:rsidRPr="00347CB3">
        <w:t>nehospodářské</w:t>
      </w:r>
      <w:proofErr w:type="spellEnd"/>
      <w:r w:rsidRPr="00347CB3">
        <w:t xml:space="preserve"> činnosti </w:t>
      </w:r>
      <w:r w:rsidR="006D4D2D">
        <w:t>p</w:t>
      </w:r>
      <w:r w:rsidRPr="00396EA5">
        <w:t>říjemce</w:t>
      </w:r>
      <w:r w:rsidRPr="00347CB3">
        <w:t>.</w:t>
      </w:r>
      <w:r w:rsidR="00080D3C">
        <w:br/>
      </w:r>
      <w:r w:rsidRPr="00347CB3">
        <w:t>K</w:t>
      </w:r>
      <w:r w:rsidR="000327D8">
        <w:t xml:space="preserve"> </w:t>
      </w:r>
      <w:r w:rsidRPr="00347CB3">
        <w:t>hospodářské činnosti (včetně smluvního výzkumu a vývoje) nelze využít majetek ani další zdroje podpořené</w:t>
      </w:r>
      <w:r w:rsidR="007156A3">
        <w:t>/</w:t>
      </w:r>
      <w:r w:rsidRPr="00347CB3">
        <w:t>pořízené z</w:t>
      </w:r>
      <w:r w:rsidR="000327D8">
        <w:t xml:space="preserve"> </w:t>
      </w:r>
      <w:r w:rsidRPr="00347CB3">
        <w:t>dotace s</w:t>
      </w:r>
      <w:r w:rsidR="000327D8">
        <w:t xml:space="preserve"> </w:t>
      </w:r>
      <w:r w:rsidRPr="00347CB3">
        <w:t>výjimkou jejich vedlejšího</w:t>
      </w:r>
      <w:r w:rsidR="00E06518">
        <w:rPr>
          <w:rStyle w:val="Znakapoznpodarou"/>
        </w:rPr>
        <w:footnoteReference w:id="32"/>
      </w:r>
      <w:r w:rsidRPr="00347CB3">
        <w:t xml:space="preserve"> hospodářského využití sloužícího k</w:t>
      </w:r>
      <w:r w:rsidR="00080D3C">
        <w:t xml:space="preserve"> </w:t>
      </w:r>
      <w:r w:rsidRPr="00347CB3">
        <w:t xml:space="preserve">jejich účelnějšímu využití. Podmínky </w:t>
      </w:r>
      <w:proofErr w:type="spellStart"/>
      <w:r w:rsidRPr="00347CB3">
        <w:t>nehospodářského</w:t>
      </w:r>
      <w:proofErr w:type="spellEnd"/>
      <w:r w:rsidRPr="00347CB3">
        <w:t xml:space="preserve"> využití podpořené infrastruktury (v</w:t>
      </w:r>
      <w:r w:rsidR="00E179CC">
        <w:t> </w:t>
      </w:r>
      <w:r w:rsidRPr="00347CB3">
        <w:t xml:space="preserve">souladu s ustanovením </w:t>
      </w:r>
      <w:r w:rsidR="00D15AD3">
        <w:t>bodu</w:t>
      </w:r>
      <w:r w:rsidRPr="00347CB3">
        <w:t xml:space="preserve"> 2</w:t>
      </w:r>
      <w:r w:rsidR="005F332C">
        <w:t>1</w:t>
      </w:r>
      <w:r w:rsidRPr="00347CB3">
        <w:t xml:space="preserve"> Rámce</w:t>
      </w:r>
      <w:r w:rsidR="00F924BD">
        <w:t xml:space="preserve"> </w:t>
      </w:r>
      <w:proofErr w:type="spellStart"/>
      <w:r w:rsidR="00F924BD">
        <w:t>VaVaI</w:t>
      </w:r>
      <w:proofErr w:type="spellEnd"/>
      <w:r w:rsidRPr="00347CB3">
        <w:t>) je nutno dodržovat po celou dobu životnosti</w:t>
      </w:r>
      <w:r w:rsidR="006F67F5">
        <w:t xml:space="preserve">, </w:t>
      </w:r>
      <w:r w:rsidRPr="00347CB3">
        <w:t>resp. odpisování majetku.</w:t>
      </w:r>
    </w:p>
    <w:p w14:paraId="335920F0" w14:textId="1640476D" w:rsidR="00EA6696" w:rsidRPr="005034B0" w:rsidRDefault="008D0BC5" w:rsidP="002B3EEE">
      <w:pPr>
        <w:widowControl w:val="0"/>
        <w:ind w:left="567"/>
        <w:rPr>
          <w:rFonts w:asciiTheme="minorHAnsi" w:hAnsiTheme="minorHAnsi"/>
        </w:rPr>
      </w:pPr>
      <w:r w:rsidRPr="005034B0">
        <w:rPr>
          <w:rFonts w:asciiTheme="minorHAnsi" w:hAnsiTheme="minorHAnsi" w:cstheme="majorHAnsi"/>
          <w:lang w:eastAsia="cs-CZ"/>
        </w:rPr>
        <w:t>Pro účely prokázání čistě vedlejšího charakteru hospodářských činností ve smyslu bodu 2</w:t>
      </w:r>
      <w:r w:rsidR="005F332C">
        <w:rPr>
          <w:rFonts w:asciiTheme="minorHAnsi" w:hAnsiTheme="minorHAnsi" w:cstheme="majorHAnsi"/>
          <w:lang w:eastAsia="cs-CZ"/>
        </w:rPr>
        <w:t>1</w:t>
      </w:r>
      <w:r w:rsidRPr="005034B0">
        <w:rPr>
          <w:rFonts w:asciiTheme="minorHAnsi" w:hAnsiTheme="minorHAnsi" w:cstheme="majorHAnsi"/>
          <w:lang w:eastAsia="cs-CZ"/>
        </w:rPr>
        <w:t xml:space="preserve"> Rámce </w:t>
      </w:r>
      <w:proofErr w:type="spellStart"/>
      <w:r w:rsidR="00F924BD">
        <w:rPr>
          <w:rFonts w:asciiTheme="minorHAnsi" w:hAnsiTheme="minorHAnsi" w:cstheme="majorHAnsi"/>
          <w:lang w:eastAsia="cs-CZ"/>
        </w:rPr>
        <w:t>VaVaI</w:t>
      </w:r>
      <w:proofErr w:type="spellEnd"/>
      <w:r w:rsidRPr="005034B0">
        <w:rPr>
          <w:rFonts w:asciiTheme="minorHAnsi" w:hAnsiTheme="minorHAnsi" w:cstheme="majorHAnsi"/>
          <w:lang w:eastAsia="cs-CZ"/>
        </w:rPr>
        <w:t xml:space="preserve"> je </w:t>
      </w:r>
      <w:r w:rsidR="006D4D2D">
        <w:rPr>
          <w:rFonts w:asciiTheme="minorHAnsi" w:hAnsiTheme="minorHAnsi" w:cstheme="majorHAnsi"/>
          <w:lang w:eastAsia="cs-CZ"/>
        </w:rPr>
        <w:t>p</w:t>
      </w:r>
      <w:r w:rsidRPr="005034B0">
        <w:rPr>
          <w:rFonts w:asciiTheme="minorHAnsi" w:hAnsiTheme="minorHAnsi" w:cstheme="majorHAnsi"/>
          <w:lang w:eastAsia="cs-CZ"/>
        </w:rPr>
        <w:t xml:space="preserve">říjemce povinen v souladu s </w:t>
      </w:r>
      <w:r w:rsidRPr="00DC1AD9">
        <w:rPr>
          <w:rFonts w:asciiTheme="minorHAnsi" w:hAnsiTheme="minorHAnsi" w:cstheme="majorHAnsi"/>
          <w:iCs/>
          <w:lang w:eastAsia="cs-CZ"/>
        </w:rPr>
        <w:t>Metodikou vykazování hospodářských činností</w:t>
      </w:r>
      <w:r w:rsidR="00AE1CF9" w:rsidRPr="00DC1AD9">
        <w:rPr>
          <w:rFonts w:asciiTheme="minorHAnsi" w:hAnsiTheme="minorHAnsi" w:cstheme="majorHAnsi"/>
          <w:iCs/>
          <w:lang w:eastAsia="cs-CZ"/>
        </w:rPr>
        <w:t xml:space="preserve"> z hlediska veřejné podpory v rámci OP JAK</w:t>
      </w:r>
      <w:r w:rsidR="00D15AD3" w:rsidRPr="007004E8">
        <w:rPr>
          <w:rFonts w:asciiTheme="minorHAnsi" w:hAnsiTheme="minorHAnsi" w:cstheme="majorHAnsi"/>
          <w:iCs/>
          <w:lang w:eastAsia="cs-CZ"/>
        </w:rPr>
        <w:t>,</w:t>
      </w:r>
      <w:r w:rsidR="00D15AD3">
        <w:rPr>
          <w:rFonts w:asciiTheme="minorHAnsi" w:hAnsiTheme="minorHAnsi" w:cstheme="majorHAnsi"/>
          <w:lang w:eastAsia="cs-CZ"/>
        </w:rPr>
        <w:t xml:space="preserve"> která je </w:t>
      </w:r>
      <w:r w:rsidR="00AE1CF9">
        <w:rPr>
          <w:rFonts w:asciiTheme="minorHAnsi" w:hAnsiTheme="minorHAnsi" w:cstheme="majorHAnsi"/>
          <w:lang w:eastAsia="cs-CZ"/>
        </w:rPr>
        <w:t>k dispozici na www.opjak.cz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předložit </w:t>
      </w:r>
      <w:r w:rsidR="00F41EBC">
        <w:rPr>
          <w:rFonts w:asciiTheme="minorHAnsi" w:hAnsiTheme="minorHAnsi" w:cstheme="majorHAnsi"/>
          <w:lang w:eastAsia="cs-CZ"/>
        </w:rPr>
        <w:t xml:space="preserve">každý rok, </w:t>
      </w:r>
      <w:r w:rsidR="00F41EBC" w:rsidRPr="00F41EBC">
        <w:rPr>
          <w:rFonts w:asciiTheme="minorHAnsi" w:hAnsiTheme="minorHAnsi" w:cstheme="majorHAnsi"/>
          <w:lang w:eastAsia="cs-CZ"/>
        </w:rPr>
        <w:t>nejpozději do 31.</w:t>
      </w:r>
      <w:r w:rsidR="00147627">
        <w:rPr>
          <w:rFonts w:asciiTheme="minorHAnsi" w:hAnsiTheme="minorHAnsi" w:cstheme="majorHAnsi"/>
          <w:lang w:eastAsia="cs-CZ"/>
        </w:rPr>
        <w:t xml:space="preserve"> </w:t>
      </w:r>
      <w:r w:rsidR="00F41EBC" w:rsidRPr="00F41EBC">
        <w:rPr>
          <w:rFonts w:asciiTheme="minorHAnsi" w:hAnsiTheme="minorHAnsi" w:cstheme="majorHAnsi"/>
          <w:lang w:eastAsia="cs-CZ"/>
        </w:rPr>
        <w:t>7.</w:t>
      </w:r>
      <w:r w:rsidR="00F41EBC">
        <w:rPr>
          <w:rFonts w:asciiTheme="minorHAnsi" w:hAnsiTheme="minorHAnsi" w:cstheme="majorHAnsi"/>
          <w:lang w:eastAsia="cs-CZ"/>
        </w:rPr>
        <w:t xml:space="preserve">, </w:t>
      </w:r>
      <w:r w:rsidRPr="005034B0">
        <w:rPr>
          <w:rFonts w:asciiTheme="minorHAnsi" w:hAnsiTheme="minorHAnsi" w:cstheme="majorHAnsi"/>
          <w:lang w:eastAsia="cs-CZ"/>
        </w:rPr>
        <w:t>Přehled hospodářského využití podpořených kapacit</w:t>
      </w:r>
      <w:r w:rsidR="00D15AD3">
        <w:rPr>
          <w:rFonts w:asciiTheme="minorHAnsi" w:hAnsiTheme="minorHAnsi" w:cstheme="majorHAnsi"/>
          <w:lang w:eastAsia="cs-CZ"/>
        </w:rPr>
        <w:t>,</w:t>
      </w:r>
      <w:r w:rsidRPr="005034B0">
        <w:rPr>
          <w:rFonts w:asciiTheme="minorHAnsi" w:hAnsiTheme="minorHAnsi" w:cstheme="majorHAnsi"/>
          <w:lang w:eastAsia="cs-CZ"/>
        </w:rPr>
        <w:t xml:space="preserve"> </w:t>
      </w:r>
      <w:r w:rsidR="00F41EBC">
        <w:rPr>
          <w:rFonts w:asciiTheme="minorHAnsi" w:hAnsiTheme="minorHAnsi" w:cstheme="majorHAnsi"/>
          <w:lang w:eastAsia="cs-CZ"/>
        </w:rPr>
        <w:t>a to vždy</w:t>
      </w:r>
      <w:r w:rsidR="00080D3C">
        <w:rPr>
          <w:rFonts w:asciiTheme="minorHAnsi" w:hAnsiTheme="minorHAnsi" w:cstheme="majorHAnsi"/>
          <w:lang w:eastAsia="cs-CZ"/>
        </w:rPr>
        <w:br/>
      </w:r>
      <w:r w:rsidRPr="005034B0">
        <w:rPr>
          <w:rFonts w:asciiTheme="minorHAnsi" w:hAnsiTheme="minorHAnsi" w:cstheme="majorHAnsi"/>
          <w:lang w:eastAsia="cs-CZ"/>
        </w:rPr>
        <w:t>za předchozí rok realizace</w:t>
      </w:r>
      <w:r w:rsidRPr="00AA6692">
        <w:rPr>
          <w:rFonts w:asciiTheme="minorHAnsi" w:hAnsiTheme="minorHAnsi" w:cstheme="majorHAnsi"/>
          <w:highlight w:val="lightGray"/>
          <w:lang w:eastAsia="cs-CZ"/>
        </w:rPr>
        <w:t>/udržitelnosti</w:t>
      </w:r>
      <w:r w:rsidR="00D15AD3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3"/>
      </w:r>
      <w:r w:rsidRPr="005034B0">
        <w:rPr>
          <w:rFonts w:asciiTheme="minorHAnsi" w:hAnsiTheme="minorHAnsi" w:cstheme="majorHAnsi"/>
          <w:lang w:eastAsia="cs-CZ"/>
        </w:rPr>
        <w:t xml:space="preserve"> projektu. </w:t>
      </w:r>
    </w:p>
    <w:p w14:paraId="16A1446D" w14:textId="43EC9223" w:rsidR="006F67F5" w:rsidRDefault="006F67F5" w:rsidP="006F67F5">
      <w:pPr>
        <w:ind w:left="567"/>
      </w:pPr>
      <w:r w:rsidRPr="00347CB3">
        <w:t>Spolupráce s podniky musí probíhat v souladu s článkem 2.2.2 Rámce</w:t>
      </w:r>
      <w:r w:rsidR="00F924BD">
        <w:t xml:space="preserve"> </w:t>
      </w:r>
      <w:proofErr w:type="spellStart"/>
      <w:r w:rsidR="00F924BD">
        <w:t>VaVaI</w:t>
      </w:r>
      <w:proofErr w:type="spellEnd"/>
      <w:r w:rsidRPr="00347CB3">
        <w:t>, a to tak, aby nedošlo</w:t>
      </w:r>
      <w:r>
        <w:t xml:space="preserve"> k </w:t>
      </w:r>
      <w:r w:rsidRPr="00347CB3">
        <w:t>poskytnutí nepřímé veřejné podpory spolupracujícímu podniku.</w:t>
      </w:r>
    </w:p>
    <w:p w14:paraId="4F05E226" w14:textId="4115EAC6" w:rsidR="00495B2F" w:rsidRPr="00347CB3" w:rsidRDefault="00495B2F" w:rsidP="003910ED">
      <w:pPr>
        <w:pStyle w:val="Headline1proTP"/>
        <w:keepNext/>
        <w:numPr>
          <w:ilvl w:val="0"/>
          <w:numId w:val="102"/>
        </w:numPr>
        <w:spacing w:before="240"/>
        <w:ind w:left="567" w:hanging="425"/>
      </w:pPr>
      <w:bookmarkStart w:id="40" w:name="_Ref456361567"/>
      <w:r w:rsidRPr="00347CB3">
        <w:t>Evaluace</w:t>
      </w:r>
      <w:bookmarkEnd w:id="40"/>
    </w:p>
    <w:p w14:paraId="4F05E227" w14:textId="785F4172" w:rsidR="00495B2F" w:rsidRPr="00347CB3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435F5B">
        <w:t xml:space="preserve"> </w:t>
      </w:r>
      <w:r w:rsidR="008F57AB">
        <w:t>souladu s</w:t>
      </w:r>
      <w:r w:rsidR="00435F5B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při realizaci evaluačních aktivit v rámci OP </w:t>
      </w:r>
      <w:r w:rsidR="004159A6">
        <w:t>JAK</w:t>
      </w:r>
      <w:r w:rsidRPr="00347CB3">
        <w:t>, a to po celou dobu realizace projektu</w:t>
      </w:r>
      <w:r w:rsidRPr="00AA6692">
        <w:rPr>
          <w:highlight w:val="lightGray"/>
        </w:rPr>
        <w:t xml:space="preserve">, </w:t>
      </w:r>
      <w:r w:rsidRPr="00AA6692">
        <w:rPr>
          <w:rFonts w:asciiTheme="minorHAnsi" w:hAnsiTheme="minorHAnsi" w:cstheme="majorHAnsi"/>
          <w:highlight w:val="lightGray"/>
          <w:lang w:eastAsia="cs-CZ"/>
        </w:rPr>
        <w:t>po dobu jeho udržitelnosti</w:t>
      </w:r>
      <w:bookmarkStart w:id="41" w:name="_Hlk125275054"/>
      <w:r w:rsidR="00F6711B"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4"/>
      </w:r>
      <w:bookmarkEnd w:id="41"/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77920738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lastRenderedPageBreak/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4D07A7">
        <w:t xml:space="preserve"> 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4F08CF">
      <w:pPr>
        <w:pStyle w:val="Headline1proTP"/>
        <w:numPr>
          <w:ilvl w:val="0"/>
          <w:numId w:val="102"/>
        </w:numPr>
        <w:spacing w:before="240"/>
        <w:ind w:left="567" w:hanging="425"/>
      </w:pPr>
      <w:bookmarkStart w:id="42" w:name="_Ref456361678"/>
      <w:r>
        <w:t>Komunikace v MS20</w:t>
      </w:r>
      <w:r w:rsidR="00AC5322">
        <w:t>21</w:t>
      </w:r>
      <w:r>
        <w:t>+</w:t>
      </w:r>
      <w:bookmarkEnd w:id="42"/>
    </w:p>
    <w:p w14:paraId="4F05E22A" w14:textId="4AFE66DE" w:rsidR="00495B2F" w:rsidRPr="00080D3C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95E9EAF" w:rsidR="00495B2F" w:rsidRPr="000771AC" w:rsidRDefault="00495B2F" w:rsidP="004F08CF">
      <w:pPr>
        <w:pStyle w:val="Headline1proTP"/>
        <w:numPr>
          <w:ilvl w:val="0"/>
          <w:numId w:val="102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7FCC50A3" w14:textId="6A04EBE1" w:rsidR="00F02998" w:rsidRDefault="00F02998" w:rsidP="00F02998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 zpracování osobních údajů v</w:t>
      </w:r>
      <w:r w:rsidR="00AE3877">
        <w:t xml:space="preserve"> </w:t>
      </w:r>
      <w:r>
        <w:t>projektu za účelem prokázání řádného a efektivního nakládání s</w:t>
      </w:r>
      <w:r w:rsidR="00A97EF3">
        <w:t> </w:t>
      </w:r>
      <w:r>
        <w:t>prostředky, které byly na realizaci projektu poskytnuty tímto Rozhodnutím</w:t>
      </w:r>
      <w:r w:rsidR="00A97EF3">
        <w:t>, vč</w:t>
      </w:r>
      <w:r w:rsidR="009A5AEA">
        <w:t>etně</w:t>
      </w:r>
      <w:r w:rsidR="00A97EF3">
        <w:t xml:space="preserve"> </w:t>
      </w:r>
      <w:r w:rsidR="00816332">
        <w:t>poskytování součinnosti při p</w:t>
      </w:r>
      <w:r w:rsidR="00A97EF3">
        <w:t>rovádění evalua</w:t>
      </w:r>
      <w:r w:rsidR="00816332">
        <w:t>čních aktivit</w:t>
      </w:r>
      <w:r>
        <w:t>.</w:t>
      </w:r>
    </w:p>
    <w:p w14:paraId="5C3E7074" w14:textId="3D28759D" w:rsidR="00F02998" w:rsidRDefault="00F02998" w:rsidP="00F02998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Osobní údaje </w:t>
      </w:r>
      <w:r w:rsidR="004D07A7">
        <w:t>definované v</w:t>
      </w:r>
      <w:r>
        <w:t xml:space="preserve"> čl. 4 odst. 1 Nařízení Evropského parlamentu a</w:t>
      </w:r>
      <w:r w:rsidR="004D07A7">
        <w:t> </w:t>
      </w:r>
      <w:r>
        <w:t>Rady (EU) 2016/679 ze dne 27. dubna 2016 o ochraně fyzických osob v souvislosti se</w:t>
      </w:r>
      <w:r w:rsidR="004D07A7">
        <w:t> </w:t>
      </w:r>
      <w:r>
        <w:t>zpracováním osobních údajů a o volném pohybu těchto údajů a o zrušení směrnice 95/46/ES (obecné nařízení o ochraně osobních údajů) (dále jen „GDPR“) je příjemce povinen zpracovávat</w:t>
      </w:r>
      <w:r w:rsidR="00AE3877">
        <w:t xml:space="preserve"> a chránit</w:t>
      </w:r>
      <w:r>
        <w:t xml:space="preserve"> v</w:t>
      </w:r>
      <w:r w:rsidR="00080D3C">
        <w:t> </w:t>
      </w:r>
      <w:r>
        <w:t>souladu</w:t>
      </w:r>
      <w:r w:rsidR="00080D3C">
        <w:br/>
      </w:r>
      <w:r>
        <w:t>s platnými právními předpisy, a to v</w:t>
      </w:r>
      <w:r w:rsidR="00AE3877">
        <w:t xml:space="preserve"> </w:t>
      </w:r>
      <w:r>
        <w:t>rozsahu, způsobem a po dobu vymezenou v</w:t>
      </w:r>
      <w:r w:rsidR="00AE3877">
        <w:t xml:space="preserve"> 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3C5C39FA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F02998">
        <w:t>GDPR</w:t>
      </w:r>
      <w:r>
        <w:t xml:space="preserve"> </w:t>
      </w:r>
      <w:r w:rsidRPr="00FE2EC4">
        <w:t>s</w:t>
      </w:r>
      <w:r w:rsidR="00417433" w:rsidRPr="00FE2EC4">
        <w:t> </w:t>
      </w:r>
      <w:r>
        <w:t>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</w:t>
      </w:r>
      <w:r w:rsidR="00F02998">
        <w:t> </w:t>
      </w:r>
      <w:r>
        <w:t xml:space="preserve">souvislosti s realizací projektu zpracovávat osobní údaje.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7A68F6C0" w:rsidR="00594475" w:rsidRDefault="00594475" w:rsidP="00761D97">
      <w:pPr>
        <w:pStyle w:val="Headline1proTP"/>
        <w:keepNext/>
        <w:numPr>
          <w:ilvl w:val="0"/>
          <w:numId w:val="102"/>
        </w:numPr>
        <w:tabs>
          <w:tab w:val="left" w:pos="3969"/>
        </w:tabs>
        <w:spacing w:before="240"/>
        <w:ind w:left="567" w:hanging="425"/>
      </w:pPr>
      <w:r>
        <w:t>Opatření ve vztahu k </w:t>
      </w:r>
      <w:r w:rsidRPr="00761D97">
        <w:t>evidenci skutečných majitelů</w:t>
      </w:r>
    </w:p>
    <w:p w14:paraId="3FC82DE8" w14:textId="41FBAE8F" w:rsidR="00ED55D7" w:rsidRPr="00080D3C" w:rsidRDefault="00594475" w:rsidP="000A4408">
      <w:pPr>
        <w:pStyle w:val="Headline2proTP"/>
        <w:keepNext w:val="0"/>
        <w:numPr>
          <w:ilvl w:val="0"/>
          <w:numId w:val="0"/>
        </w:numPr>
        <w:spacing w:before="120" w:after="360"/>
        <w:rPr>
          <w:rFonts w:eastAsia="Calibri"/>
          <w:b w:val="0"/>
          <w:color w:val="000000" w:themeColor="text1"/>
          <w:spacing w:val="-4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 </w:t>
      </w:r>
      <w:r w:rsidRPr="007F1DE9">
        <w:rPr>
          <w:rFonts w:eastAsia="Calibri"/>
          <w:b w:val="0"/>
        </w:rPr>
        <w:t xml:space="preserve">je </w:t>
      </w:r>
      <w:r>
        <w:rPr>
          <w:rFonts w:eastAsia="Calibri"/>
          <w:b w:val="0"/>
        </w:rPr>
        <w:t>povinen bezodkladně informovat P</w:t>
      </w:r>
      <w:r w:rsidRPr="007F1DE9">
        <w:rPr>
          <w:rFonts w:eastAsia="Calibri"/>
          <w:b w:val="0"/>
        </w:rPr>
        <w:t xml:space="preserve">oskytovatele </w:t>
      </w:r>
      <w:r w:rsidRPr="004C69E4">
        <w:rPr>
          <w:rFonts w:eastAsia="Calibri"/>
          <w:b w:val="0"/>
          <w:spacing w:val="-4"/>
        </w:rPr>
        <w:t>dotace o</w:t>
      </w:r>
      <w:r w:rsidR="00BF25A7">
        <w:rPr>
          <w:rFonts w:eastAsia="Calibri"/>
          <w:b w:val="0"/>
          <w:spacing w:val="-4"/>
        </w:rPr>
        <w:t xml:space="preserve"> </w:t>
      </w:r>
      <w:r w:rsidRPr="004C69E4">
        <w:rPr>
          <w:rFonts w:eastAsia="Calibri"/>
          <w:b w:val="0"/>
          <w:spacing w:val="-4"/>
        </w:rPr>
        <w:t xml:space="preserve">změnách </w:t>
      </w:r>
      <w:r>
        <w:rPr>
          <w:rFonts w:eastAsia="Calibri"/>
          <w:b w:val="0"/>
          <w:spacing w:val="-4"/>
        </w:rPr>
        <w:t xml:space="preserve">svého </w:t>
      </w:r>
      <w:r w:rsidRPr="004C69E4">
        <w:rPr>
          <w:rFonts w:eastAsia="Calibri"/>
          <w:b w:val="0"/>
          <w:spacing w:val="-4"/>
        </w:rPr>
        <w:t>skutečného majitele</w:t>
      </w:r>
      <w:r w:rsidR="003E33B9">
        <w:rPr>
          <w:rFonts w:eastAsia="Calibri"/>
          <w:b w:val="0"/>
          <w:spacing w:val="-4"/>
        </w:rPr>
        <w:t xml:space="preserve"> ve smyslu zákona č. 37/2021 Sb., o evidenci skutečných majitelů, ve znění pozdějších předpisů</w:t>
      </w:r>
      <w:r w:rsidR="002A2653">
        <w:rPr>
          <w:rFonts w:eastAsia="Calibri"/>
          <w:b w:val="0"/>
          <w:spacing w:val="-4"/>
        </w:rPr>
        <w:t>.</w:t>
      </w:r>
      <w:r w:rsidR="003E33B9">
        <w:rPr>
          <w:rFonts w:eastAsia="Calibri"/>
          <w:b w:val="0"/>
          <w:spacing w:val="-4"/>
        </w:rPr>
        <w:t xml:space="preserve"> </w:t>
      </w:r>
    </w:p>
    <w:p w14:paraId="4F05E234" w14:textId="77777777" w:rsidR="007E09CC" w:rsidRPr="008F01FF" w:rsidRDefault="007E09CC" w:rsidP="00F95BA2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02695192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0E4387">
        <w:rPr>
          <w:rFonts w:eastAsia="Calibri"/>
          <w:b w:val="0"/>
        </w:rPr>
        <w:t>odeslána</w:t>
      </w:r>
      <w:r w:rsidR="000E4387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proofErr w:type="spellStart"/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proofErr w:type="spellEnd"/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Pr="00917D3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lastRenderedPageBreak/>
        <w:t xml:space="preserve">Převod prostředků dotace </w:t>
      </w:r>
    </w:p>
    <w:p w14:paraId="4F05E23A" w14:textId="1E6D3BD0" w:rsidR="00FE45B1" w:rsidRDefault="00495B2F" w:rsidP="00BC7C5A">
      <w:pPr>
        <w:spacing w:after="36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C12165">
        <w:t xml:space="preserve">dle bodu </w:t>
      </w:r>
      <w:r w:rsidR="00BC7C5A">
        <w:t xml:space="preserve">1.1 a </w:t>
      </w:r>
      <w:r w:rsidR="00C12165">
        <w:t xml:space="preserve">1.2 této části </w:t>
      </w:r>
      <w:r w:rsidR="00C12165" w:rsidRPr="00974527">
        <w:t>Rozhodnutí</w:t>
      </w:r>
      <w:r w:rsidR="00974527" w:rsidRPr="00974527">
        <w:t>.</w:t>
      </w:r>
      <w:r w:rsidR="00EB701F" w:rsidRPr="00974527">
        <w:t xml:space="preserve"> </w:t>
      </w:r>
      <w:r w:rsidRPr="00974527">
        <w:t>Dnem</w:t>
      </w:r>
      <w:r w:rsidRPr="00347CB3">
        <w:t xml:space="preserve">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FE0036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BC7C5A">
      <w:pPr>
        <w:keepNext/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8937FF">
      <w:pPr>
        <w:pStyle w:val="Odstavecseseznamem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3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4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4"/>
      <w:r w:rsidR="00663155">
        <w:t xml:space="preserve">, </w:t>
      </w:r>
      <w:bookmarkEnd w:id="43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0EC6D511" w:rsidR="007E09CC" w:rsidRPr="00B02B18" w:rsidRDefault="00B02B18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B02B18">
        <w:rPr>
          <w:rStyle w:val="Znakapoznpodarou"/>
          <w:highlight w:val="lightGray"/>
        </w:rPr>
        <w:footnoteReference w:id="35"/>
      </w:r>
      <w:r w:rsidR="007E09CC" w:rsidRPr="00B02B18">
        <w:t>V případě, že dojde k porušení povinností stanovených v části II, bod</w:t>
      </w:r>
      <w:r w:rsidR="000C2E33" w:rsidRPr="00B02B18">
        <w:t>ě</w:t>
      </w:r>
      <w:r w:rsidR="007E09CC" w:rsidRPr="00B02B18">
        <w:t xml:space="preserve"> </w:t>
      </w:r>
      <w:r w:rsidR="00AF3F6F" w:rsidRPr="00B02B18">
        <w:t>4.</w:t>
      </w:r>
      <w:r w:rsidR="0022460C" w:rsidRPr="00B02B18">
        <w:t xml:space="preserve">1 </w:t>
      </w:r>
      <w:r w:rsidR="007E09CC" w:rsidRPr="00B02B18">
        <w:t xml:space="preserve">tohoto Rozhodnutí, </w:t>
      </w:r>
      <w:r w:rsidR="00064602" w:rsidRPr="00B02B18">
        <w:t xml:space="preserve">je </w:t>
      </w:r>
      <w:r w:rsidR="007E09CC" w:rsidRPr="00B02B18">
        <w:t>odvod za porušení rozpočtové kázně v souladu s</w:t>
      </w:r>
      <w:r w:rsidR="00BD383E" w:rsidRPr="00B02B18">
        <w:t xml:space="preserve"> ustanovením </w:t>
      </w:r>
      <w:r w:rsidR="007E09CC" w:rsidRPr="00B02B18">
        <w:t>§ 44a odst. 4 písm. a) a</w:t>
      </w:r>
      <w:r w:rsidR="00290F53" w:rsidRPr="00B02B18">
        <w:t> </w:t>
      </w:r>
      <w:r w:rsidR="007E09CC" w:rsidRPr="00B02B18">
        <w:t>v souladu s</w:t>
      </w:r>
      <w:r w:rsidR="00E76457" w:rsidRPr="00B02B18">
        <w:t> </w:t>
      </w:r>
      <w:r w:rsidR="007E09CC" w:rsidRPr="00B02B18">
        <w:t xml:space="preserve">§ 14 odst. </w:t>
      </w:r>
      <w:r w:rsidR="009B5CA4" w:rsidRPr="00B02B18">
        <w:t>5</w:t>
      </w:r>
      <w:r w:rsidR="007E09CC" w:rsidRPr="00B02B18">
        <w:t xml:space="preserve"> rozpočtových pravidel stanoven ve výši </w:t>
      </w:r>
      <w:r w:rsidR="007E09CC" w:rsidRPr="00B15108">
        <w:t>0,0</w:t>
      </w:r>
      <w:r w:rsidR="004A498C" w:rsidRPr="00B15108">
        <w:t>5</w:t>
      </w:r>
      <w:r w:rsidR="007E09CC" w:rsidRPr="00B15108">
        <w:t xml:space="preserve"> % </w:t>
      </w:r>
      <w:r w:rsidR="007E09CC" w:rsidRPr="00B15108">
        <w:rPr>
          <w:spacing w:val="-4"/>
        </w:rPr>
        <w:t>z celkové částky dotace</w:t>
      </w:r>
      <w:r w:rsidR="00160016" w:rsidRPr="00B02B18">
        <w:rPr>
          <w:spacing w:val="-4"/>
        </w:rPr>
        <w:t xml:space="preserve"> </w:t>
      </w:r>
      <w:r w:rsidR="00C35C5A" w:rsidRPr="00B02B18">
        <w:rPr>
          <w:spacing w:val="-4"/>
        </w:rPr>
        <w:t>za</w:t>
      </w:r>
      <w:r w:rsidR="00004436" w:rsidRPr="00B02B18">
        <w:rPr>
          <w:spacing w:val="-4"/>
        </w:rPr>
        <w:t> </w:t>
      </w:r>
      <w:r w:rsidR="00C35C5A" w:rsidRPr="00B02B18">
        <w:rPr>
          <w:spacing w:val="-4"/>
        </w:rPr>
        <w:t>každý nesplněný finanční milník</w:t>
      </w:r>
      <w:r w:rsidR="007E09CC" w:rsidRPr="00B02B18">
        <w:rPr>
          <w:spacing w:val="-4"/>
        </w:rPr>
        <w:t>.</w:t>
      </w:r>
      <w:r w:rsidR="00C46115" w:rsidRPr="00B02B18">
        <w:rPr>
          <w:spacing w:val="-4"/>
        </w:rPr>
        <w:t xml:space="preserve"> Za porušení povinností stanovených v části II, bod</w:t>
      </w:r>
      <w:r w:rsidR="000C2E33" w:rsidRPr="00B02B18">
        <w:rPr>
          <w:spacing w:val="-4"/>
        </w:rPr>
        <w:t>ě</w:t>
      </w:r>
      <w:r w:rsidR="00C46115" w:rsidRPr="00B02B18">
        <w:rPr>
          <w:spacing w:val="-4"/>
        </w:rPr>
        <w:t xml:space="preserve"> 4.</w:t>
      </w:r>
      <w:r w:rsidR="002F4464" w:rsidRPr="00B02B18">
        <w:rPr>
          <w:spacing w:val="-4"/>
        </w:rPr>
        <w:t xml:space="preserve">1 </w:t>
      </w:r>
      <w:r w:rsidR="00C46115" w:rsidRPr="00B02B18">
        <w:rPr>
          <w:spacing w:val="-4"/>
        </w:rPr>
        <w:t>se nepovažují případy, při nichž</w:t>
      </w:r>
      <w:r w:rsidR="001A5859" w:rsidRPr="00B02B18">
        <w:rPr>
          <w:spacing w:val="-4"/>
        </w:rPr>
        <w:t xml:space="preserve"> </w:t>
      </w:r>
      <w:r w:rsidR="00C46115" w:rsidRPr="00B02B18">
        <w:rPr>
          <w:spacing w:val="-4"/>
        </w:rPr>
        <w:t>došlo k </w:t>
      </w:r>
      <w:r w:rsidR="001A5859" w:rsidRPr="00B02B18">
        <w:rPr>
          <w:spacing w:val="-4"/>
        </w:rPr>
        <w:t>nesplnění</w:t>
      </w:r>
      <w:r w:rsidR="00C46115" w:rsidRPr="00B02B18">
        <w:rPr>
          <w:spacing w:val="-4"/>
        </w:rPr>
        <w:t xml:space="preserve"> povinností stanovených v části II, bod</w:t>
      </w:r>
      <w:r w:rsidR="000C2E33" w:rsidRPr="00B02B18">
        <w:rPr>
          <w:spacing w:val="-4"/>
        </w:rPr>
        <w:t>ě</w:t>
      </w:r>
      <w:r w:rsidR="00C46115" w:rsidRPr="00B02B18">
        <w:rPr>
          <w:spacing w:val="-4"/>
        </w:rPr>
        <w:t xml:space="preserve"> 4.</w:t>
      </w:r>
      <w:r w:rsidR="002F4464" w:rsidRPr="00B02B18">
        <w:rPr>
          <w:spacing w:val="-4"/>
        </w:rPr>
        <w:t xml:space="preserve">1 </w:t>
      </w:r>
      <w:r w:rsidR="00C46115" w:rsidRPr="00B02B18">
        <w:rPr>
          <w:spacing w:val="-4"/>
        </w:rPr>
        <w:t>z důvodu porušení,</w:t>
      </w:r>
      <w:r w:rsidR="00A20961">
        <w:rPr>
          <w:spacing w:val="-4"/>
        </w:rPr>
        <w:br/>
      </w:r>
      <w:r w:rsidR="00C46115" w:rsidRPr="00B02B18">
        <w:rPr>
          <w:spacing w:val="-4"/>
        </w:rPr>
        <w:t>za které již byl stanoven odvod.</w:t>
      </w:r>
      <w:bookmarkStart w:id="45" w:name="_Hlk125038537"/>
      <w:r w:rsidR="00C46115" w:rsidRPr="00B02B18">
        <w:rPr>
          <w:spacing w:val="-4"/>
        </w:rPr>
        <w:t xml:space="preserve"> </w:t>
      </w:r>
      <w:bookmarkEnd w:id="45"/>
    </w:p>
    <w:p w14:paraId="4F05E243" w14:textId="768FC706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9B7D82">
        <w:t xml:space="preserve">, </w:t>
      </w:r>
      <w:r w:rsidR="00AF3F6F">
        <w:t>11.</w:t>
      </w:r>
      <w:r w:rsidR="00A6697A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C604B0">
        <w:t xml:space="preserve">a </w:t>
      </w:r>
      <w:r w:rsidR="005E190C" w:rsidRPr="00C604B0">
        <w:t>23</w:t>
      </w:r>
      <w:r w:rsidR="009D4994" w:rsidRPr="00C604B0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0727B3DB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6" w:name="_Hlk94014998"/>
    </w:p>
    <w:bookmarkEnd w:id="46"/>
    <w:p w14:paraId="3E73423F" w14:textId="3DEB129E" w:rsidR="00132281" w:rsidRPr="00B028CD" w:rsidRDefault="003228C6" w:rsidP="00710227">
      <w:pPr>
        <w:pStyle w:val="Headline1proTP"/>
        <w:numPr>
          <w:ilvl w:val="0"/>
          <w:numId w:val="6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A06374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7D260B">
        <w:rPr>
          <w:rFonts w:asciiTheme="minorHAnsi" w:hAnsiTheme="minorHAnsi" w:cstheme="minorHAnsi"/>
          <w:b w:val="0"/>
          <w:szCs w:val="22"/>
        </w:rPr>
        <w:t xml:space="preserve"> 9.1</w:t>
      </w:r>
      <w:r w:rsidRPr="00B028CD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="00B028C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5A5A18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 k porušení povinností</w:t>
      </w:r>
      <w:r w:rsidRPr="00B028CD">
        <w:rPr>
          <w:rFonts w:asciiTheme="minorHAnsi" w:hAnsiTheme="minorHAnsi" w:cstheme="minorHAnsi"/>
          <w:b w:val="0"/>
          <w:szCs w:val="22"/>
        </w:rPr>
        <w:t xml:space="preserve">, je odvod za porušení rozpočtové kázně v souladu s 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 odst.</w:t>
      </w:r>
      <w:r w:rsidR="005A5A18">
        <w:rPr>
          <w:rFonts w:asciiTheme="minorHAnsi" w:hAnsiTheme="minorHAnsi" w:cstheme="minorHAnsi"/>
          <w:b w:val="0"/>
          <w:szCs w:val="22"/>
        </w:rPr>
        <w:t> </w:t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5A5A18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5A5A18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36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5A5A18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47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37"/>
      </w:r>
      <w:bookmarkEnd w:id="47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</w:p>
    <w:p w14:paraId="4F05E28E" w14:textId="47501B6A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</w:t>
      </w:r>
      <w:r w:rsidR="00AB1D5C">
        <w:t xml:space="preserve"> </w:t>
      </w:r>
      <w:r w:rsidRPr="00422BE6">
        <w:t>případě, že dojde k porušení povinností stanovených v</w:t>
      </w:r>
      <w:r w:rsidR="00AB1D5C">
        <w:t xml:space="preserve"> </w:t>
      </w:r>
      <w:r w:rsidRPr="00422BE6">
        <w:t>části II, bod</w:t>
      </w:r>
      <w:r w:rsidR="00E57170">
        <w:t>ě</w:t>
      </w:r>
      <w:r w:rsidR="00FD466D">
        <w:t xml:space="preserve"> 12 </w:t>
      </w:r>
      <w:r w:rsidRPr="00422BE6">
        <w:t>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</w:t>
      </w:r>
      <w:r w:rsidR="00AB1D5C">
        <w:br/>
      </w:r>
      <w:r w:rsidRPr="00422BE6">
        <w:t>za</w:t>
      </w:r>
      <w:r w:rsidR="00AB1D5C">
        <w:t xml:space="preserve"> </w:t>
      </w:r>
      <w:r w:rsidRPr="00422BE6">
        <w:t>porušení rozpočtové kázně v</w:t>
      </w:r>
      <w:r w:rsidR="00AB1D5C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AB1D5C">
        <w:t xml:space="preserve"> </w:t>
      </w:r>
      <w:r w:rsidR="001321BA">
        <w:t xml:space="preserve">ustanovením </w:t>
      </w:r>
      <w:r w:rsidRPr="00422BE6">
        <w:t>§ 44a odst. 4 písm. a) a</w:t>
      </w:r>
      <w:r w:rsidR="00AB1D5C">
        <w:t xml:space="preserve"> </w:t>
      </w:r>
      <w:r w:rsidRPr="00422BE6">
        <w:t>v</w:t>
      </w:r>
      <w:r w:rsidR="00AB1D5C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8" w:name="_Toc405814473"/>
      <w:r w:rsidR="0008595B" w:rsidRPr="001B102B">
        <w:rPr>
          <w:vertAlign w:val="superscript"/>
        </w:rPr>
        <w:footnoteReference w:id="38"/>
      </w:r>
      <w:bookmarkEnd w:id="48"/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528"/>
        <w:gridCol w:w="1701"/>
      </w:tblGrid>
      <w:tr w:rsidR="00C0655D" w:rsidRPr="00347CB3" w14:paraId="4F05E292" w14:textId="77777777" w:rsidTr="00AB1D5C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11DABB47" w:rsidR="00495B2F" w:rsidRPr="00347CB3" w:rsidRDefault="00495B2F" w:rsidP="0056441F">
            <w:pPr>
              <w:pStyle w:val="Tabulkatext"/>
              <w:widowControl w:val="0"/>
              <w:spacing w:before="20" w:after="20"/>
              <w:ind w:right="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AB1D5C">
              <w:t xml:space="preserve"> v %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AB1D5C">
              <w:t xml:space="preserve"> / v Kč</w:t>
            </w:r>
          </w:p>
        </w:tc>
      </w:tr>
      <w:tr w:rsidR="00AB1D5C" w:rsidRPr="00347CB3" w14:paraId="4F05E297" w14:textId="77777777" w:rsidTr="00AB1D5C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2D5FC181" w:rsidR="00AB1D5C" w:rsidRPr="00347CB3" w:rsidRDefault="00AB1D5C" w:rsidP="0056441F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AB1D5C" w:rsidRPr="00347CB3" w:rsidRDefault="00AB1D5C" w:rsidP="0056441F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AB1D5C" w:rsidRPr="00347CB3" w:rsidRDefault="00AB1D5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AB1D5C" w:rsidRPr="00347CB3" w14:paraId="4F05E29E" w14:textId="77777777" w:rsidTr="00AB1D5C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AB1D5C" w:rsidRPr="00347CB3" w:rsidRDefault="00AB1D5C" w:rsidP="0056441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AB1D5C" w:rsidRPr="00B27CA9" w:rsidRDefault="00AB1D5C" w:rsidP="0056441F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>
              <w:t xml:space="preserve">, </w:t>
            </w:r>
            <w:r w:rsidRPr="00B27CA9">
              <w:t>nebo je chybně:</w:t>
            </w:r>
          </w:p>
          <w:p w14:paraId="4F05E29B" w14:textId="595DD4D6" w:rsidR="00AB1D5C" w:rsidRPr="0027069E" w:rsidRDefault="00AB1D5C" w:rsidP="0056441F">
            <w:pPr>
              <w:pStyle w:val="Tabulkatext"/>
              <w:widowControl w:val="0"/>
              <w:spacing w:before="20" w:after="20"/>
            </w:pPr>
            <w:r>
              <w:t>- 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7FBAE96F" w:rsidR="00AB1D5C" w:rsidRPr="00347CB3" w:rsidRDefault="00AB1D5C" w:rsidP="0056441F">
            <w:pPr>
              <w:pStyle w:val="Tabulkatext"/>
              <w:widowControl w:val="0"/>
              <w:spacing w:before="20" w:after="20"/>
              <w:ind w:left="235" w:hanging="178"/>
            </w:pPr>
            <w:r>
              <w:t>- 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9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AB1D5C" w:rsidRPr="00347CB3" w:rsidRDefault="00AB1D5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AB1D5C" w:rsidRPr="00347CB3" w14:paraId="4F05E2A2" w14:textId="77777777" w:rsidTr="00AB1D5C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AB1D5C" w:rsidRPr="00347CB3" w:rsidRDefault="00AB1D5C" w:rsidP="0056441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AB1D5C" w:rsidRPr="00347CB3" w:rsidRDefault="00AB1D5C" w:rsidP="0056441F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AB1D5C" w:rsidRPr="00347CB3" w:rsidRDefault="00AB1D5C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AB1D5C" w:rsidRPr="00347CB3" w14:paraId="4731CF42" w14:textId="77777777" w:rsidTr="00AB1D5C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0DC4EA" w14:textId="77777777" w:rsidR="00AB1D5C" w:rsidRPr="00347CB3" w:rsidRDefault="00AB1D5C" w:rsidP="0056441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7480C57" w14:textId="7D1BE2E9" w:rsidR="00AB1D5C" w:rsidRDefault="00AB1D5C" w:rsidP="0056441F">
            <w:pPr>
              <w:pStyle w:val="Tabulkatext"/>
              <w:widowControl w:val="0"/>
              <w:spacing w:before="20" w:after="20"/>
            </w:pPr>
            <w:r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0E3C73" w14:textId="23067E93" w:rsidR="00AB1D5C" w:rsidRPr="00347CB3" w:rsidRDefault="00AB1D5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10 000 Kč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9" w:name="_Toc405814474"/>
      <w:bookmarkEnd w:id="49"/>
    </w:p>
    <w:tbl>
      <w:tblPr>
        <w:tblW w:w="8647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153178" w:rsidRPr="00347CB3" w14:paraId="4F05E2AA" w14:textId="77777777" w:rsidTr="00876A7C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56441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2AAB7F68" w:rsidR="00153178" w:rsidRPr="00347CB3" w:rsidRDefault="00153178" w:rsidP="0056441F">
            <w:pPr>
              <w:pStyle w:val="Tabulkatext"/>
              <w:widowControl w:val="0"/>
              <w:spacing w:before="20" w:after="20"/>
              <w:ind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56441F">
              <w:t xml:space="preserve"> v 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56441F">
              <w:t xml:space="preserve"> / v Kč</w:t>
            </w:r>
          </w:p>
        </w:tc>
      </w:tr>
      <w:tr w:rsidR="00876A7C" w:rsidRPr="00347CB3" w14:paraId="4F05E2B1" w14:textId="77777777" w:rsidTr="00876A7C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 xml:space="preserve">/ volitelná </w:t>
            </w:r>
            <w:r w:rsidRPr="00347CB3">
              <w:lastRenderedPageBreak/>
              <w:t>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42"/>
            </w:pPr>
            <w:r w:rsidRPr="00347CB3">
              <w:lastRenderedPageBreak/>
              <w:t>Logo EU</w:t>
            </w:r>
          </w:p>
          <w:p w14:paraId="4F05E2AE" w14:textId="3099800E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876A7C" w:rsidRPr="00347CB3" w:rsidRDefault="00876A7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876A7C" w:rsidRPr="00347CB3" w14:paraId="4F05E2BA" w14:textId="77777777" w:rsidTr="00876A7C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876A7C" w:rsidRPr="00347CB3" w:rsidRDefault="00876A7C" w:rsidP="0056441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FE91CA" w14:textId="77777777" w:rsidR="00876A7C" w:rsidRDefault="00876A7C" w:rsidP="0056441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2C3DB2BC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2082F0A2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876A7C" w:rsidRPr="00347CB3" w:rsidRDefault="00876A7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876A7C" w:rsidRPr="00347CB3" w14:paraId="4FE9E248" w14:textId="77777777" w:rsidTr="00876A7C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E486344" w14:textId="77777777" w:rsidR="00876A7C" w:rsidRPr="00347CB3" w:rsidRDefault="00876A7C" w:rsidP="0056441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14EC8F" w14:textId="23E70566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42"/>
            </w:pPr>
            <w: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FC42762" w14:textId="70B1F190" w:rsidR="00876A7C" w:rsidRPr="00347CB3" w:rsidRDefault="00876A7C" w:rsidP="0056441F">
            <w:pPr>
              <w:pStyle w:val="Tabulkatext"/>
              <w:widowControl w:val="0"/>
              <w:spacing w:before="20" w:after="20"/>
              <w:ind w:left="119"/>
            </w:pPr>
            <w: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32790C6" w14:textId="526C1F3C" w:rsidR="00876A7C" w:rsidRDefault="00876A7C" w:rsidP="0056441F">
            <w:pPr>
              <w:pStyle w:val="Tabulkatext"/>
              <w:widowControl w:val="0"/>
              <w:spacing w:before="20" w:after="20"/>
              <w:jc w:val="center"/>
            </w:pPr>
            <w:r>
              <w:t>10 000 Kč</w:t>
            </w:r>
          </w:p>
        </w:tc>
      </w:tr>
    </w:tbl>
    <w:p w14:paraId="4D8FEE65" w14:textId="2FCB7081" w:rsidR="00A017FA" w:rsidRPr="00D75ECC" w:rsidRDefault="00A017FA" w:rsidP="008937FF">
      <w:pPr>
        <w:pStyle w:val="Odstavecseseznamem"/>
        <w:numPr>
          <w:ilvl w:val="0"/>
          <w:numId w:val="6"/>
        </w:numPr>
        <w:spacing w:before="240" w:after="0"/>
        <w:ind w:left="426" w:hanging="425"/>
        <w:contextualSpacing w:val="0"/>
      </w:pPr>
      <w:r w:rsidRPr="00D75ECC">
        <w:t>V případě, že dojde k porušení povinnosti předložit za každý rok realizace</w:t>
      </w:r>
      <w:r w:rsidR="00CC63E8" w:rsidRPr="00D75ECC">
        <w:t>/udržitelnosti</w:t>
      </w:r>
      <w:r w:rsidRPr="00D75ECC">
        <w:t xml:space="preserve"> projektu do 31.</w:t>
      </w:r>
      <w:r w:rsidR="00CC63E8" w:rsidRPr="00D75ECC">
        <w:t xml:space="preserve"> </w:t>
      </w:r>
      <w:r w:rsidRPr="00D75ECC">
        <w:t>7. Přehled hospodářského využití podpořených kapacit stanovené v části II, bod</w:t>
      </w:r>
      <w:r w:rsidR="00E57170" w:rsidRPr="00D75ECC">
        <w:t>ě</w:t>
      </w:r>
      <w:r w:rsidR="006909D2" w:rsidRPr="00D75ECC">
        <w:t xml:space="preserve"> 19.3 </w:t>
      </w:r>
      <w:r w:rsidRPr="00D75ECC">
        <w:t>tohoto Rozhodnutí, je odvod za porušení rozpočtové kázně v</w:t>
      </w:r>
      <w:r w:rsidR="006D47B0" w:rsidRPr="00D75ECC">
        <w:t xml:space="preserve"> </w:t>
      </w:r>
      <w:r w:rsidRPr="00D75ECC">
        <w:t>souladu s</w:t>
      </w:r>
      <w:r w:rsidR="006D47B0" w:rsidRPr="00D75ECC">
        <w:t xml:space="preserve"> </w:t>
      </w:r>
      <w:r w:rsidRPr="00D75ECC">
        <w:t>ustanovením §</w:t>
      </w:r>
      <w:r w:rsidR="006D47B0" w:rsidRPr="00D75ECC">
        <w:t xml:space="preserve"> </w:t>
      </w:r>
      <w:r w:rsidRPr="00D75ECC">
        <w:t>44a odst.</w:t>
      </w:r>
      <w:r w:rsidR="006D47B0" w:rsidRPr="00D75ECC">
        <w:t> </w:t>
      </w:r>
      <w:r w:rsidRPr="00D75ECC">
        <w:t>4 písm. a) a</w:t>
      </w:r>
      <w:r w:rsidR="006D47B0" w:rsidRPr="00D75ECC">
        <w:t xml:space="preserve"> </w:t>
      </w:r>
      <w:r w:rsidRPr="00D75ECC">
        <w:t>v</w:t>
      </w:r>
      <w:r w:rsidR="006D47B0" w:rsidRPr="00D75ECC">
        <w:t xml:space="preserve"> </w:t>
      </w:r>
      <w:r w:rsidRPr="00D75ECC">
        <w:t>souladu s ustanovením § 14 odst. 5 rozpočtových pravidel stanoven za každý jednotlivý případ ve výši 10 000 Kč.</w:t>
      </w:r>
    </w:p>
    <w:p w14:paraId="4CC632CB" w14:textId="7E603B86" w:rsidR="00F02353" w:rsidRPr="00B47BD9" w:rsidRDefault="00113C3B" w:rsidP="00B47BD9">
      <w:pPr>
        <w:pStyle w:val="Odstavecseseznamem"/>
        <w:numPr>
          <w:ilvl w:val="0"/>
          <w:numId w:val="6"/>
        </w:numPr>
        <w:spacing w:before="120" w:after="120"/>
        <w:ind w:left="425" w:hanging="425"/>
        <w:contextualSpacing w:val="0"/>
        <w:rPr>
          <w:rFonts w:asciiTheme="minorHAnsi" w:hAnsiTheme="minorHAnsi" w:cstheme="minorHAnsi"/>
        </w:rPr>
      </w:pPr>
      <w:bookmarkStart w:id="50" w:name="_Hlk163567949"/>
      <w:r w:rsidRPr="00B47BD9">
        <w:rPr>
          <w:rFonts w:asciiTheme="minorHAnsi" w:hAnsiTheme="minorHAnsi" w:cstheme="minorHAnsi"/>
        </w:rPr>
        <w:t xml:space="preserve">V případě, že dojde k porušení povinnosti </w:t>
      </w:r>
      <w:r w:rsidR="0052261E" w:rsidRPr="00B47BD9">
        <w:rPr>
          <w:rFonts w:asciiTheme="minorHAnsi" w:hAnsiTheme="minorHAnsi" w:cstheme="minorHAnsi"/>
        </w:rPr>
        <w:t>stanovené v části II, bodě 2.4</w:t>
      </w:r>
      <w:r w:rsidRPr="00B47BD9">
        <w:rPr>
          <w:rFonts w:asciiTheme="minorHAnsi" w:hAnsiTheme="minorHAnsi" w:cstheme="minorHAnsi"/>
        </w:rPr>
        <w:t>, je odvod za porušení rozpočtové kázně v souladu s ustanovením § 44a odst. 4 písm. a) a</w:t>
      </w:r>
      <w:r w:rsidR="0052261E" w:rsidRPr="00B47BD9">
        <w:rPr>
          <w:rFonts w:asciiTheme="minorHAnsi" w:hAnsiTheme="minorHAnsi" w:cstheme="minorHAnsi"/>
        </w:rPr>
        <w:t xml:space="preserve"> </w:t>
      </w:r>
      <w:r w:rsidRPr="00B47BD9">
        <w:rPr>
          <w:rFonts w:asciiTheme="minorHAnsi" w:hAnsiTheme="minorHAnsi" w:cstheme="minorHAnsi"/>
        </w:rPr>
        <w:t>v</w:t>
      </w:r>
      <w:r w:rsidR="0052261E" w:rsidRPr="00B47BD9">
        <w:rPr>
          <w:rFonts w:asciiTheme="minorHAnsi" w:hAnsiTheme="minorHAnsi" w:cstheme="minorHAnsi"/>
        </w:rPr>
        <w:t xml:space="preserve"> </w:t>
      </w:r>
      <w:r w:rsidRPr="00B47BD9">
        <w:rPr>
          <w:rFonts w:asciiTheme="minorHAnsi" w:hAnsiTheme="minorHAnsi" w:cstheme="minorHAnsi"/>
        </w:rPr>
        <w:t xml:space="preserve">souladu s ustanovením § 14 odst. 5 rozpočtových pravidel stanoven ve výši </w:t>
      </w:r>
      <w:r w:rsidR="00DB06D5">
        <w:rPr>
          <w:rFonts w:asciiTheme="minorHAnsi" w:hAnsiTheme="minorHAnsi" w:cstheme="minorHAnsi"/>
        </w:rPr>
        <w:t>10 000</w:t>
      </w:r>
      <w:r w:rsidR="00F32A32" w:rsidRPr="00B47BD9">
        <w:rPr>
          <w:rFonts w:asciiTheme="minorHAnsi" w:hAnsiTheme="minorHAnsi" w:cstheme="minorHAnsi"/>
        </w:rPr>
        <w:t xml:space="preserve"> </w:t>
      </w:r>
      <w:r w:rsidR="00F02353" w:rsidRPr="00B47BD9">
        <w:rPr>
          <w:rFonts w:asciiTheme="minorHAnsi" w:hAnsiTheme="minorHAnsi" w:cstheme="minorHAnsi"/>
        </w:rPr>
        <w:t>Kč za</w:t>
      </w:r>
      <w:r w:rsidR="00F32A32" w:rsidRPr="00B47BD9">
        <w:rPr>
          <w:rFonts w:asciiTheme="minorHAnsi" w:hAnsiTheme="minorHAnsi" w:cstheme="minorHAnsi"/>
        </w:rPr>
        <w:t xml:space="preserve"> každou zvolenou povinně volitelnou </w:t>
      </w:r>
      <w:r w:rsidR="00DF4EEE">
        <w:rPr>
          <w:rFonts w:asciiTheme="minorHAnsi" w:hAnsiTheme="minorHAnsi" w:cstheme="minorHAnsi"/>
        </w:rPr>
        <w:t>nebo</w:t>
      </w:r>
      <w:r w:rsidR="002C0A1F">
        <w:rPr>
          <w:rFonts w:asciiTheme="minorHAnsi" w:hAnsiTheme="minorHAnsi" w:cstheme="minorHAnsi"/>
        </w:rPr>
        <w:t xml:space="preserve"> volitelnou </w:t>
      </w:r>
      <w:r w:rsidR="00F32A32" w:rsidRPr="00B47BD9">
        <w:rPr>
          <w:rFonts w:asciiTheme="minorHAnsi" w:hAnsiTheme="minorHAnsi" w:cstheme="minorHAnsi"/>
        </w:rPr>
        <w:t xml:space="preserve">aktivitu, </w:t>
      </w:r>
      <w:r w:rsidR="00AB4F89" w:rsidRPr="00B47BD9">
        <w:rPr>
          <w:rFonts w:asciiTheme="minorHAnsi" w:hAnsiTheme="minorHAnsi" w:cstheme="minorHAnsi"/>
        </w:rPr>
        <w:t>pro kterou</w:t>
      </w:r>
      <w:r w:rsidR="00F32A32" w:rsidRPr="00B47BD9">
        <w:rPr>
          <w:rFonts w:asciiTheme="minorHAnsi" w:hAnsiTheme="minorHAnsi" w:cstheme="minorHAnsi"/>
        </w:rPr>
        <w:t xml:space="preserve"> nebylo realizováno vzdělávání zaměstnanců výzkumné organizace</w:t>
      </w:r>
      <w:r w:rsidR="00F02353" w:rsidRPr="00B47BD9">
        <w:rPr>
          <w:rFonts w:asciiTheme="minorHAnsi" w:hAnsiTheme="minorHAnsi" w:cstheme="minorHAnsi"/>
        </w:rPr>
        <w:t>.</w:t>
      </w:r>
    </w:p>
    <w:p w14:paraId="53175CCF" w14:textId="436FC3B0" w:rsidR="005D4371" w:rsidRPr="00B47BD9" w:rsidRDefault="005D4371" w:rsidP="00F02353">
      <w:pPr>
        <w:pStyle w:val="Odstavecseseznamem"/>
        <w:numPr>
          <w:ilvl w:val="0"/>
          <w:numId w:val="6"/>
        </w:numPr>
        <w:spacing w:before="120" w:after="120"/>
        <w:ind w:left="425" w:hanging="425"/>
        <w:contextualSpacing w:val="0"/>
        <w:rPr>
          <w:rFonts w:asciiTheme="minorHAnsi" w:hAnsiTheme="minorHAnsi" w:cstheme="minorHAnsi"/>
          <w:highlight w:val="lightGray"/>
        </w:rPr>
      </w:pPr>
      <w:r w:rsidRPr="00B47BD9">
        <w:rPr>
          <w:rFonts w:asciiTheme="minorHAnsi" w:hAnsiTheme="minorHAnsi" w:cstheme="minorHAnsi"/>
          <w:highlight w:val="lightGray"/>
        </w:rPr>
        <w:t>V případě, že dojde k porušení povinnosti stanovené v </w:t>
      </w:r>
      <w:r w:rsidR="008F6331" w:rsidRPr="00B47BD9">
        <w:rPr>
          <w:rFonts w:asciiTheme="minorHAnsi" w:hAnsiTheme="minorHAnsi" w:cstheme="minorHAnsi"/>
          <w:highlight w:val="lightGray"/>
        </w:rPr>
        <w:t xml:space="preserve">části II, bodě </w:t>
      </w:r>
      <w:r w:rsidR="00815215">
        <w:rPr>
          <w:rFonts w:asciiTheme="minorHAnsi" w:hAnsiTheme="minorHAnsi" w:cstheme="minorHAnsi"/>
          <w:highlight w:val="lightGray"/>
        </w:rPr>
        <w:t>3</w:t>
      </w:r>
      <w:r w:rsidR="00733BAD" w:rsidRPr="00B47BD9">
        <w:rPr>
          <w:rFonts w:asciiTheme="minorHAnsi" w:hAnsiTheme="minorHAnsi" w:cstheme="minorHAnsi"/>
          <w:highlight w:val="lightGray"/>
        </w:rPr>
        <w:t xml:space="preserve">, je odvod za porušení rozpočtové kázně v souladu s ustanovením § 44a odst. 4 písm. a) a v souladu s ustanovením § 14 odst. 5 rozpočtových pravidel stanoven pevným procentním podílem z celkové částky dotace </w:t>
      </w:r>
      <w:r w:rsidR="008F6331" w:rsidRPr="00B47BD9">
        <w:rPr>
          <w:rFonts w:asciiTheme="minorHAnsi" w:hAnsiTheme="minorHAnsi" w:cstheme="minorHAnsi"/>
          <w:highlight w:val="lightGray"/>
        </w:rPr>
        <w:t>takto</w:t>
      </w:r>
      <w:r w:rsidRPr="00B47BD9">
        <w:rPr>
          <w:rFonts w:asciiTheme="minorHAnsi" w:hAnsiTheme="minorHAnsi" w:cstheme="minorHAnsi"/>
          <w:highlight w:val="lightGray"/>
        </w:rPr>
        <w:t>:</w:t>
      </w:r>
      <w:r w:rsidR="00AB4F89" w:rsidRPr="00B47BD9">
        <w:rPr>
          <w:rStyle w:val="Znakapoznpodarou"/>
          <w:rFonts w:asciiTheme="minorHAnsi" w:hAnsiTheme="minorHAnsi" w:cstheme="minorHAnsi"/>
          <w:highlight w:val="lightGray"/>
        </w:rPr>
        <w:footnoteReference w:id="40"/>
      </w:r>
    </w:p>
    <w:tbl>
      <w:tblPr>
        <w:tblW w:w="864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417"/>
      </w:tblGrid>
      <w:tr w:rsidR="0086724D" w:rsidRPr="00B47BD9" w14:paraId="3DE81904" w14:textId="77777777" w:rsidTr="0086724D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042D" w14:textId="6673B12F" w:rsidR="008F6331" w:rsidRPr="00B47BD9" w:rsidRDefault="008F6331" w:rsidP="00F70624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Stav </w:t>
            </w:r>
            <w:r w:rsidR="00AB4F89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k datu ukončení období udržitelnosti dle kap. 7.10 </w:t>
            </w:r>
            <w:proofErr w:type="spellStart"/>
            <w:r w:rsidR="00AB4F89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SPpŽP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21339" w14:textId="17791D77" w:rsidR="00733BAD" w:rsidRPr="00B47BD9" w:rsidRDefault="00733BAD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Podíl z celkové </w:t>
            </w:r>
          </w:p>
          <w:p w14:paraId="50E6B62F" w14:textId="5CC2FD73" w:rsidR="008F6331" w:rsidRPr="00B47BD9" w:rsidRDefault="00733BAD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částky dotace</w:t>
            </w:r>
          </w:p>
        </w:tc>
      </w:tr>
      <w:tr w:rsidR="008F6331" w:rsidRPr="00B47BD9" w14:paraId="79CA85FC" w14:textId="77777777" w:rsidTr="00561DDD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9688" w14:textId="45925F45" w:rsidR="008F6331" w:rsidRPr="00B47BD9" w:rsidRDefault="008F6331" w:rsidP="00F70624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Výzkumné orga</w:t>
            </w:r>
            <w:r w:rsidR="00733BAD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n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izaci </w:t>
            </w:r>
            <w:r w:rsidR="002C0A1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j</w:t>
            </w:r>
            <w:r w:rsidR="002C0A1F" w:rsidRPr="0097452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ako celku</w:t>
            </w:r>
            <w:r w:rsidR="002C0A1F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bylo v období udržitelnosti</w:t>
            </w:r>
            <w:r w:rsidR="00AB4F89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, tj. 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ve fázi </w:t>
            </w:r>
            <w:proofErr w:type="spellStart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znovuudělení</w:t>
            </w:r>
            <w:proofErr w:type="spellEnd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ocenění „HR </w:t>
            </w:r>
            <w:proofErr w:type="spellStart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Award</w:t>
            </w:r>
            <w:proofErr w:type="spellEnd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“</w:t>
            </w:r>
            <w:r w:rsidR="00AB4F89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</w:t>
            </w:r>
            <w:r w:rsidR="00B16CB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ocenění</w:t>
            </w:r>
            <w:r w:rsidR="009F07C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„HR </w:t>
            </w:r>
            <w:proofErr w:type="spellStart"/>
            <w:r w:rsidR="009F07C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Award</w:t>
            </w:r>
            <w:proofErr w:type="spellEnd"/>
            <w:r w:rsidR="009F07C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“</w:t>
            </w:r>
            <w:r w:rsidR="00B16CB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odňato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9E59" w14:textId="732C86EF" w:rsidR="008F6331" w:rsidRPr="00B47BD9" w:rsidRDefault="00733BAD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2 %</w:t>
            </w:r>
          </w:p>
        </w:tc>
      </w:tr>
      <w:tr w:rsidR="0086724D" w:rsidRPr="00B47BD9" w14:paraId="0A5A9E68" w14:textId="77777777" w:rsidTr="0086724D"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0397" w14:textId="4DDEF089" w:rsidR="008F6331" w:rsidRPr="00B47BD9" w:rsidRDefault="00733BAD" w:rsidP="00F70624">
            <w:pPr>
              <w:pStyle w:val="Default"/>
              <w:spacing w:before="20" w:after="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V případě, že výzkumná organizace žádala o ocenění „HR </w:t>
            </w:r>
            <w:proofErr w:type="spellStart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Award</w:t>
            </w:r>
            <w:proofErr w:type="spellEnd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“ pro více svých součást</w:t>
            </w:r>
            <w:r w:rsidR="00B47BD9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í</w:t>
            </w:r>
            <w:r w:rsidR="00B41C8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a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v období udržitelnosti</w:t>
            </w:r>
            <w:r w:rsidR="00AB4F89" w:rsidRPr="00B47BD9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41"/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do</w:t>
            </w:r>
            <w:r w:rsidR="00B41C8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šlo</w:t>
            </w: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k odnětí ocenění „HR </w:t>
            </w:r>
            <w:proofErr w:type="spellStart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Award</w:t>
            </w:r>
            <w:proofErr w:type="spellEnd"/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“ pro některou z těchto součástí</w:t>
            </w:r>
            <w:r w:rsidR="00B41C8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, </w:t>
            </w:r>
            <w:r w:rsidR="004C14A3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přičemž</w:t>
            </w:r>
            <w:r w:rsidR="00B41C85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 xml:space="preserve"> platí</w:t>
            </w:r>
            <w:r w:rsidR="00F32A32"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, že: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9930" w14:textId="2CCFC2F0" w:rsidR="008F6331" w:rsidRPr="00B47BD9" w:rsidRDefault="00F32A32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highlight w:val="lightGray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-</w:t>
            </w:r>
          </w:p>
        </w:tc>
      </w:tr>
      <w:tr w:rsidR="00B47BD9" w:rsidRPr="00B47BD9" w14:paraId="733AFFEA" w14:textId="77777777" w:rsidTr="00561DDD">
        <w:trPr>
          <w:trHeight w:val="549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B8B2" w14:textId="6FF3A2B2" w:rsidR="00B47BD9" w:rsidRPr="00B47BD9" w:rsidRDefault="00F32A32" w:rsidP="00F70624">
            <w:pPr>
              <w:pStyle w:val="Odstavecseseznamem"/>
              <w:numPr>
                <w:ilvl w:val="0"/>
                <w:numId w:val="96"/>
              </w:numPr>
              <w:spacing w:before="20" w:after="20"/>
              <w:ind w:left="314" w:hanging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B47BD9">
              <w:rPr>
                <w:rFonts w:asciiTheme="minorHAnsi" w:hAnsiTheme="minorHAnsi" w:cstheme="minorHAnsi"/>
              </w:rPr>
              <w:t xml:space="preserve">ocenění „HR </w:t>
            </w:r>
            <w:proofErr w:type="spellStart"/>
            <w:r w:rsidRPr="00B47BD9">
              <w:rPr>
                <w:rFonts w:asciiTheme="minorHAnsi" w:hAnsiTheme="minorHAnsi" w:cstheme="minorHAnsi"/>
              </w:rPr>
              <w:t>Award</w:t>
            </w:r>
            <w:proofErr w:type="spellEnd"/>
            <w:r w:rsidRPr="00B47BD9">
              <w:rPr>
                <w:rFonts w:asciiTheme="minorHAnsi" w:hAnsiTheme="minorHAnsi" w:cstheme="minorHAnsi"/>
              </w:rPr>
              <w:t>“ bylo obhájeno pro méně než 50 % součástí.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785B" w14:textId="6C454A70" w:rsidR="008F6331" w:rsidRPr="00B47BD9" w:rsidRDefault="00F32A32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vertAlign w:val="subscript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2 %</w:t>
            </w:r>
          </w:p>
        </w:tc>
      </w:tr>
      <w:tr w:rsidR="0086724D" w:rsidRPr="00B47BD9" w14:paraId="24C85B10" w14:textId="77777777" w:rsidTr="0086724D">
        <w:trPr>
          <w:trHeight w:val="549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B170" w14:textId="29CF85BD" w:rsidR="008F6331" w:rsidRPr="00B47BD9" w:rsidRDefault="00F32A32" w:rsidP="00F70624">
            <w:pPr>
              <w:pStyle w:val="Odstavecseseznamem"/>
              <w:numPr>
                <w:ilvl w:val="0"/>
                <w:numId w:val="96"/>
              </w:numPr>
              <w:spacing w:before="20" w:after="20"/>
              <w:ind w:left="314" w:hanging="284"/>
              <w:contextualSpacing w:val="0"/>
              <w:jc w:val="left"/>
              <w:rPr>
                <w:rFonts w:asciiTheme="minorHAnsi" w:hAnsiTheme="minorHAnsi" w:cstheme="minorHAnsi"/>
                <w:b/>
              </w:rPr>
            </w:pPr>
            <w:r w:rsidRPr="00B47BD9">
              <w:rPr>
                <w:rFonts w:asciiTheme="minorHAnsi" w:hAnsiTheme="minorHAnsi" w:cstheme="minorHAnsi"/>
              </w:rPr>
              <w:t xml:space="preserve">ocenění „HR </w:t>
            </w:r>
            <w:proofErr w:type="spellStart"/>
            <w:r w:rsidRPr="00B47BD9">
              <w:rPr>
                <w:rFonts w:asciiTheme="minorHAnsi" w:hAnsiTheme="minorHAnsi" w:cstheme="minorHAnsi"/>
              </w:rPr>
              <w:t>Award</w:t>
            </w:r>
            <w:proofErr w:type="spellEnd"/>
            <w:r w:rsidRPr="00B47BD9">
              <w:rPr>
                <w:rFonts w:asciiTheme="minorHAnsi" w:hAnsiTheme="minorHAnsi" w:cstheme="minorHAnsi"/>
              </w:rPr>
              <w:t>“ bylo obhájeno pro 50 % součástí</w:t>
            </w:r>
            <w:r w:rsidR="00B47BD9" w:rsidRPr="00B47BD9">
              <w:rPr>
                <w:rFonts w:asciiTheme="minorHAnsi" w:hAnsiTheme="minorHAnsi" w:cstheme="minorHAnsi"/>
              </w:rPr>
              <w:t>,</w:t>
            </w:r>
            <w:r w:rsidRPr="00B47BD9">
              <w:rPr>
                <w:rFonts w:asciiTheme="minorHAnsi" w:hAnsiTheme="minorHAnsi" w:cstheme="minorHAnsi"/>
              </w:rPr>
              <w:t xml:space="preserve"> nebo pro větší podíl součástí, ale zároveň nedošlo k obhájení pro 100 % součástí.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F239" w14:textId="404DA82F" w:rsidR="008F6331" w:rsidRPr="00B47BD9" w:rsidRDefault="00F32A32" w:rsidP="00F70624">
            <w:pPr>
              <w:pStyle w:val="Default"/>
              <w:spacing w:before="20" w:after="20"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</w:pPr>
            <w:r w:rsidRPr="00B47BD9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cs-CZ"/>
              </w:rPr>
              <w:t>1 %</w:t>
            </w:r>
          </w:p>
        </w:tc>
      </w:tr>
    </w:tbl>
    <w:bookmarkEnd w:id="50"/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967BFD">
      <w:pPr>
        <w:pStyle w:val="Odstavecseseznamem"/>
        <w:keepNext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42"/>
      </w:r>
    </w:p>
    <w:p w14:paraId="4F05E2CA" w14:textId="457913E7" w:rsidR="0043313A" w:rsidRPr="007F7310" w:rsidRDefault="0043313A" w:rsidP="00C521CD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C521CD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5D8C2BF2" w:rsidR="00A2555E" w:rsidRPr="007F7310" w:rsidRDefault="00A2555E" w:rsidP="00C521CD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C521CD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C521CD">
        <w:t>3</w:t>
      </w:r>
      <w:r w:rsidR="00C521C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C521CD">
        <w:t>21. 6. 2024</w:t>
      </w:r>
      <w:r w:rsidR="00C521CD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6D32EF03" w:rsidR="00DE6970" w:rsidRDefault="0043313A" w:rsidP="00C521CD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C521CD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C521CD">
        <w:t>Výzkumné prostředí</w:t>
      </w:r>
      <w:r w:rsidR="00C521C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A0406C" w:rsidRPr="007F7310">
        <w:rPr>
          <w:rFonts w:eastAsia="Times New Roman" w:cs="Arial"/>
          <w:iCs/>
          <w:snapToGrid w:val="0"/>
          <w:lang w:eastAsia="cs-CZ"/>
        </w:rPr>
        <w:t>verze</w:t>
      </w:r>
      <w:r w:rsidR="004A569C">
        <w:rPr>
          <w:rFonts w:eastAsia="Times New Roman" w:cs="Arial"/>
          <w:iCs/>
          <w:snapToGrid w:val="0"/>
          <w:lang w:eastAsia="cs-CZ"/>
        </w:rPr>
        <w:t> </w:t>
      </w:r>
      <w:r w:rsidR="00C521CD">
        <w:t>2</w:t>
      </w:r>
      <w:r w:rsidR="00C521CD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C521CD">
        <w:t>2. 6. 2025</w:t>
      </w:r>
    </w:p>
    <w:p w14:paraId="1A9FA3A6" w14:textId="48E913B1" w:rsidR="00297F71" w:rsidRDefault="006F5F1A" w:rsidP="00C521CD">
      <w:pPr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C521CD">
        <w:rPr>
          <w:rFonts w:eastAsia="Times New Roman" w:cs="Arial"/>
          <w:iCs/>
          <w:snapToGrid w:val="0"/>
          <w:lang w:eastAsia="cs-CZ"/>
        </w:rPr>
        <w:lastRenderedPageBreak/>
        <w:t xml:space="preserve">Příloha č. 4 – </w:t>
      </w:r>
      <w:r w:rsidR="00C521CD" w:rsidRPr="00C521CD">
        <w:rPr>
          <w:rFonts w:eastAsia="Times New Roman" w:cs="Arial"/>
          <w:iCs/>
          <w:snapToGrid w:val="0"/>
          <w:lang w:eastAsia="cs-CZ"/>
        </w:rPr>
        <w:tab/>
      </w:r>
      <w:r w:rsidRPr="00C521CD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C521CD">
        <w:rPr>
          <w:rFonts w:eastAsia="Times New Roman" w:cs="Arial"/>
          <w:iCs/>
          <w:snapToGrid w:val="0"/>
          <w:lang w:eastAsia="cs-CZ"/>
        </w:rPr>
        <w:t xml:space="preserve">č. </w:t>
      </w:r>
      <w:r w:rsidR="00C521CD">
        <w:rPr>
          <w:rFonts w:eastAsia="Times New Roman" w:cs="Arial"/>
          <w:iCs/>
          <w:snapToGrid w:val="0"/>
          <w:lang w:eastAsia="cs-CZ"/>
        </w:rPr>
        <w:t>1</w:t>
      </w:r>
      <w:r w:rsidR="00C521CD" w:rsidRPr="00C521CD">
        <w:rPr>
          <w:rFonts w:eastAsia="Times New Roman" w:cs="Arial"/>
          <w:iCs/>
          <w:snapToGrid w:val="0"/>
          <w:lang w:eastAsia="cs-CZ"/>
        </w:rPr>
        <w:t xml:space="preserve"> </w:t>
      </w:r>
      <w:r w:rsidR="008C578E" w:rsidRPr="00C521CD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C521CD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C521CD" w:rsidRPr="00C521CD">
        <w:rPr>
          <w:rFonts w:eastAsia="Times New Roman" w:cs="Arial"/>
          <w:iCs/>
          <w:snapToGrid w:val="0"/>
          <w:lang w:eastAsia="cs-CZ"/>
        </w:rPr>
        <w:t xml:space="preserve">, </w:t>
      </w:r>
      <w:r w:rsidR="00106272" w:rsidRPr="00C521CD">
        <w:rPr>
          <w:rFonts w:eastAsia="Times New Roman" w:cs="Arial"/>
          <w:iCs/>
          <w:snapToGrid w:val="0"/>
          <w:lang w:eastAsia="cs-CZ"/>
        </w:rPr>
        <w:t xml:space="preserve">verze </w:t>
      </w:r>
      <w:r w:rsidR="00C521CD">
        <w:rPr>
          <w:rFonts w:eastAsia="Times New Roman" w:cs="Arial"/>
          <w:iCs/>
          <w:snapToGrid w:val="0"/>
          <w:lang w:eastAsia="cs-CZ"/>
        </w:rPr>
        <w:t>3</w:t>
      </w:r>
      <w:r w:rsidR="00106272" w:rsidRPr="00C521CD">
        <w:rPr>
          <w:rFonts w:eastAsia="Times New Roman" w:cs="Arial"/>
          <w:iCs/>
          <w:snapToGrid w:val="0"/>
          <w:lang w:eastAsia="cs-CZ"/>
        </w:rPr>
        <w:t xml:space="preserve">, </w:t>
      </w:r>
      <w:r w:rsidRPr="00C521CD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C521CD">
        <w:rPr>
          <w:rFonts w:eastAsia="Times New Roman" w:cs="Arial"/>
          <w:iCs/>
          <w:snapToGrid w:val="0"/>
          <w:lang w:eastAsia="cs-CZ"/>
        </w:rPr>
        <w:t>19. 7. 2024</w:t>
      </w:r>
    </w:p>
    <w:p w14:paraId="75C77C27" w14:textId="029FCF07" w:rsidR="00C521CD" w:rsidRDefault="00C521CD" w:rsidP="00C521CD">
      <w:pPr>
        <w:ind w:left="1701" w:hanging="1275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highlight w:val="lightGray"/>
          <w:lang w:eastAsia="cs-CZ"/>
        </w:rPr>
        <w:t>5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– </w:t>
      </w:r>
      <w:r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5234F7F7" w14:textId="77777777" w:rsidR="00C521CD" w:rsidRDefault="00C521CD" w:rsidP="00C521CD">
      <w:pPr>
        <w:ind w:left="1701" w:hanging="1275"/>
        <w:rPr>
          <w:b/>
        </w:rPr>
      </w:pPr>
    </w:p>
    <w:p w14:paraId="4F05E2D0" w14:textId="2CC90700" w:rsidR="00495B2F" w:rsidRPr="008937FF" w:rsidRDefault="00495B2F" w:rsidP="00A20961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43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641C62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3B1A" w14:textId="77777777" w:rsidR="00125BE6" w:rsidRDefault="00125BE6" w:rsidP="003365BA">
      <w:pPr>
        <w:spacing w:after="0"/>
      </w:pPr>
      <w:r>
        <w:separator/>
      </w:r>
    </w:p>
  </w:endnote>
  <w:endnote w:type="continuationSeparator" w:id="0">
    <w:p w14:paraId="41C1B98B" w14:textId="77777777" w:rsidR="00125BE6" w:rsidRDefault="00125BE6" w:rsidP="003365BA">
      <w:pPr>
        <w:spacing w:after="0"/>
      </w:pPr>
      <w:r>
        <w:continuationSeparator/>
      </w:r>
    </w:p>
  </w:endnote>
  <w:endnote w:type="continuationNotice" w:id="1">
    <w:p w14:paraId="21246B15" w14:textId="77777777" w:rsidR="00125BE6" w:rsidRDefault="00125B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6563" w14:textId="77777777" w:rsidR="00125BE6" w:rsidRDefault="00125BE6" w:rsidP="003365BA">
      <w:pPr>
        <w:spacing w:after="0"/>
      </w:pPr>
      <w:r>
        <w:separator/>
      </w:r>
    </w:p>
  </w:footnote>
  <w:footnote w:type="continuationSeparator" w:id="0">
    <w:p w14:paraId="18B392A3" w14:textId="77777777" w:rsidR="00125BE6" w:rsidRDefault="00125BE6" w:rsidP="003365BA">
      <w:pPr>
        <w:spacing w:after="0"/>
      </w:pPr>
      <w:r>
        <w:continuationSeparator/>
      </w:r>
    </w:p>
  </w:footnote>
  <w:footnote w:type="continuationNotice" w:id="1">
    <w:p w14:paraId="612B6E76" w14:textId="77777777" w:rsidR="00125BE6" w:rsidRDefault="00125BE6">
      <w:pPr>
        <w:spacing w:after="0"/>
      </w:pPr>
    </w:p>
  </w:footnote>
  <w:footnote w:id="2">
    <w:p w14:paraId="2A9DEC86" w14:textId="555C51A5" w:rsidR="00B348B1" w:rsidRPr="00617DF2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Pr="00A6407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18599034" w:rsidR="00B348B1" w:rsidRPr="00E87FA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EB2071" w:rsidRPr="00580746">
        <w:tab/>
      </w:r>
      <w:r w:rsidRPr="00580746">
        <w:t xml:space="preserve">Informační systém sloužící k monitorování, řízení, hodnocení a reportování implementace </w:t>
      </w:r>
      <w:r w:rsidR="00DF2FFC" w:rsidRPr="00580746">
        <w:t>fondů</w:t>
      </w:r>
      <w:r w:rsidR="009F2334" w:rsidRPr="00580746">
        <w:t xml:space="preserve"> EU</w:t>
      </w:r>
      <w:r w:rsidR="00DF2FFC" w:rsidRPr="00580746">
        <w:t xml:space="preserve"> </w:t>
      </w:r>
      <w:r w:rsidRPr="00580746">
        <w:t>v České republice v programovém období 2021–2027, a to na všech úrovních implementace (projekt, program, Dohoda o partnerství).</w:t>
      </w:r>
      <w:r w:rsidR="00774982" w:rsidRPr="00580746">
        <w:t xml:space="preserve"> Informační systém konečného příjemce (ISKP21+) </w:t>
      </w:r>
      <w:r w:rsidR="002D47F0" w:rsidRPr="00580746">
        <w:t xml:space="preserve">je </w:t>
      </w:r>
      <w:r w:rsidR="00774982" w:rsidRPr="00580746">
        <w:t>modul</w:t>
      </w:r>
      <w:r w:rsidR="007C2E77" w:rsidRPr="00580746">
        <w:t>em</w:t>
      </w:r>
      <w:r w:rsidR="00774982" w:rsidRPr="00580746">
        <w:t xml:space="preserve"> MS202</w:t>
      </w:r>
      <w:r w:rsidR="002D47F0" w:rsidRPr="00580746">
        <w:t>1+</w:t>
      </w:r>
      <w:r w:rsidR="007D6015" w:rsidRPr="00580746">
        <w:t>.</w:t>
      </w:r>
    </w:p>
  </w:footnote>
  <w:footnote w:id="4">
    <w:p w14:paraId="4F05E2EB" w14:textId="5A20B6F3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EB2071" w:rsidRPr="00580746">
        <w:tab/>
      </w:r>
      <w:r w:rsidRPr="00580746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 w:rsidRPr="00580746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169E610C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EB2071" w:rsidRPr="00580746">
        <w:tab/>
      </w:r>
      <w:r w:rsidRPr="00580746">
        <w:t xml:space="preserve">Specifikace pro veřejné rozpočty: účelový znak OP JAK </w:t>
      </w:r>
      <w:r w:rsidR="0020326C" w:rsidRPr="00580746">
        <w:t xml:space="preserve">P1 – </w:t>
      </w:r>
      <w:proofErr w:type="spellStart"/>
      <w:r w:rsidR="0020326C" w:rsidRPr="00580746">
        <w:t>neinvestice</w:t>
      </w:r>
      <w:proofErr w:type="spellEnd"/>
      <w:r w:rsidR="0020326C" w:rsidRPr="00580746">
        <w:t xml:space="preserve"> 33091</w:t>
      </w:r>
    </w:p>
  </w:footnote>
  <w:footnote w:id="6">
    <w:p w14:paraId="05760466" w14:textId="141D9B60" w:rsidR="00B5238B" w:rsidRPr="00A6407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="001E76C4" w:rsidRPr="00A64072">
        <w:rPr>
          <w:highlight w:val="lightGray"/>
        </w:rPr>
        <w:t>Do další</w:t>
      </w:r>
      <w:r w:rsidR="00685D2E" w:rsidRPr="00A64072">
        <w:rPr>
          <w:highlight w:val="lightGray"/>
        </w:rPr>
        <w:t>ho</w:t>
      </w:r>
      <w:r w:rsidR="001E76C4" w:rsidRPr="00A64072">
        <w:rPr>
          <w:highlight w:val="lightGray"/>
        </w:rPr>
        <w:t xml:space="preserve"> sloupc</w:t>
      </w:r>
      <w:r w:rsidR="00685D2E" w:rsidRPr="00A64072">
        <w:rPr>
          <w:highlight w:val="lightGray"/>
        </w:rPr>
        <w:t>e</w:t>
      </w:r>
      <w:r w:rsidR="001E76C4" w:rsidRPr="00A64072">
        <w:rPr>
          <w:highlight w:val="lightGray"/>
        </w:rPr>
        <w:t xml:space="preserve"> uveďte částku dle MS2021+.</w:t>
      </w:r>
    </w:p>
  </w:footnote>
  <w:footnote w:id="7">
    <w:p w14:paraId="43B8BA57" w14:textId="08468E73" w:rsidR="004B7B61" w:rsidRPr="00E87FA1" w:rsidRDefault="004B7B61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Pr="00A64072">
        <w:rPr>
          <w:highlight w:val="lightGray"/>
        </w:rPr>
        <w:t>Do dalšího sloupce uveďte částku dle MS2021+.</w:t>
      </w:r>
    </w:p>
  </w:footnote>
  <w:footnote w:id="8">
    <w:p w14:paraId="718B6B1C" w14:textId="6255552A" w:rsidR="00A64072" w:rsidRPr="00E87FA1" w:rsidRDefault="00A64072" w:rsidP="00E87FA1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E87FA1">
        <w:rPr>
          <w:rStyle w:val="Znakapoznpodarou"/>
          <w:highlight w:val="lightGray"/>
        </w:rPr>
        <w:footnoteRef/>
      </w:r>
      <w:r w:rsidR="00F76013">
        <w:rPr>
          <w:highlight w:val="lightGray"/>
        </w:rPr>
        <w:t xml:space="preserve"> </w:t>
      </w:r>
      <w:r w:rsidR="00E87FA1">
        <w:rPr>
          <w:highlight w:val="lightGray"/>
        </w:rPr>
        <w:tab/>
      </w:r>
      <w:r w:rsidRPr="00E87FA1">
        <w:rPr>
          <w:highlight w:val="lightGray"/>
        </w:rPr>
        <w:t>Platí pouze</w:t>
      </w:r>
      <w:r>
        <w:rPr>
          <w:highlight w:val="lightGray"/>
        </w:rPr>
        <w:t xml:space="preserve"> pro projekty obsahující Aktivitu 2. Pokud projekt Aktivitu 2 neo</w:t>
      </w:r>
      <w:r w:rsidR="00F76013">
        <w:rPr>
          <w:highlight w:val="lightGray"/>
        </w:rPr>
        <w:t>b</w:t>
      </w:r>
      <w:r>
        <w:rPr>
          <w:highlight w:val="lightGray"/>
        </w:rPr>
        <w:t xml:space="preserve">sahuje, větu </w:t>
      </w:r>
      <w:r w:rsidR="00335812">
        <w:rPr>
          <w:highlight w:val="lightGray"/>
        </w:rPr>
        <w:t xml:space="preserve">i tuto poznámku </w:t>
      </w:r>
      <w:r>
        <w:rPr>
          <w:highlight w:val="lightGray"/>
        </w:rPr>
        <w:t xml:space="preserve">odstraňte. </w:t>
      </w:r>
    </w:p>
  </w:footnote>
  <w:footnote w:id="9">
    <w:p w14:paraId="310B3372" w14:textId="643CC109" w:rsidR="00145833" w:rsidRPr="00A64072" w:rsidRDefault="00145833" w:rsidP="00E4176E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Pr="00A64072">
        <w:rPr>
          <w:highlight w:val="lightGray"/>
        </w:rPr>
        <w:tab/>
      </w:r>
      <w:r w:rsidR="00295947" w:rsidRPr="00A64072">
        <w:rPr>
          <w:highlight w:val="lightGray"/>
        </w:rPr>
        <w:t>U</w:t>
      </w:r>
      <w:r w:rsidRPr="00A64072">
        <w:rPr>
          <w:highlight w:val="lightGray"/>
        </w:rPr>
        <w:t xml:space="preserve"> projektů s dobou realizace </w:t>
      </w:r>
      <w:r w:rsidR="000308E6" w:rsidRPr="00A64072">
        <w:rPr>
          <w:highlight w:val="lightGray"/>
        </w:rPr>
        <w:t xml:space="preserve">do </w:t>
      </w:r>
      <w:r w:rsidRPr="00A64072">
        <w:rPr>
          <w:highlight w:val="lightGray"/>
        </w:rPr>
        <w:t>30 měsíců</w:t>
      </w:r>
      <w:r w:rsidR="000308E6" w:rsidRPr="00A64072">
        <w:rPr>
          <w:highlight w:val="lightGray"/>
        </w:rPr>
        <w:t xml:space="preserve"> (včetně)</w:t>
      </w:r>
      <w:r w:rsidRPr="00A64072">
        <w:rPr>
          <w:highlight w:val="lightGray"/>
        </w:rPr>
        <w:t xml:space="preserve"> odstraňte</w:t>
      </w:r>
      <w:r w:rsidR="00865454" w:rsidRPr="00A64072">
        <w:rPr>
          <w:highlight w:val="lightGray"/>
        </w:rPr>
        <w:t xml:space="preserve"> </w:t>
      </w:r>
      <w:r w:rsidR="00295947" w:rsidRPr="00A64072">
        <w:rPr>
          <w:highlight w:val="lightGray"/>
        </w:rPr>
        <w:t xml:space="preserve">bod 4.1 </w:t>
      </w:r>
      <w:r w:rsidR="00865454" w:rsidRPr="00A64072">
        <w:rPr>
          <w:highlight w:val="lightGray"/>
        </w:rPr>
        <w:t>i s</w:t>
      </w:r>
      <w:r w:rsidR="00295947" w:rsidRPr="00A64072">
        <w:rPr>
          <w:highlight w:val="lightGray"/>
        </w:rPr>
        <w:t> </w:t>
      </w:r>
      <w:r w:rsidR="00865454" w:rsidRPr="00A64072">
        <w:rPr>
          <w:highlight w:val="lightGray"/>
        </w:rPr>
        <w:t>tabulkou</w:t>
      </w:r>
      <w:r w:rsidR="00295947" w:rsidRPr="00A64072">
        <w:rPr>
          <w:highlight w:val="lightGray"/>
        </w:rPr>
        <w:t>,</w:t>
      </w:r>
      <w:r w:rsidRPr="00A64072">
        <w:rPr>
          <w:highlight w:val="lightGray"/>
        </w:rPr>
        <w:t xml:space="preserve"> </w:t>
      </w:r>
      <w:r w:rsidR="00707751" w:rsidRPr="00A64072">
        <w:rPr>
          <w:highlight w:val="lightGray"/>
        </w:rPr>
        <w:t>další body</w:t>
      </w:r>
      <w:r w:rsidRPr="00A64072">
        <w:rPr>
          <w:highlight w:val="lightGray"/>
        </w:rPr>
        <w:t xml:space="preserve"> přečíslujte</w:t>
      </w:r>
      <w:r w:rsidR="00295947" w:rsidRPr="00A64072">
        <w:rPr>
          <w:highlight w:val="lightGray"/>
        </w:rPr>
        <w:t xml:space="preserve"> a</w:t>
      </w:r>
      <w:r w:rsidRPr="00A64072">
        <w:rPr>
          <w:highlight w:val="lightGray"/>
        </w:rPr>
        <w:t xml:space="preserve"> v části IV odstraňte bod 3.</w:t>
      </w:r>
    </w:p>
  </w:footnote>
  <w:footnote w:id="10">
    <w:p w14:paraId="431AD1E4" w14:textId="2490D782" w:rsidR="0036437D" w:rsidRPr="00A64072" w:rsidRDefault="0036437D" w:rsidP="00617DF2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Pr="00A64072">
        <w:rPr>
          <w:highlight w:val="lightGray"/>
        </w:rPr>
        <w:t>Dle potřeby přidejte řádky.</w:t>
      </w:r>
    </w:p>
  </w:footnote>
  <w:footnote w:id="11">
    <w:p w14:paraId="16A5917A" w14:textId="665E713B" w:rsidR="002C1E3D" w:rsidRPr="00A64072" w:rsidRDefault="002C1E3D" w:rsidP="00617DF2">
      <w:pPr>
        <w:pStyle w:val="Textpoznpodarou"/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Upravte podle délky sledovaného období.</w:t>
      </w:r>
    </w:p>
  </w:footnote>
  <w:footnote w:id="12">
    <w:p w14:paraId="7081BA35" w14:textId="1D90EBB2" w:rsidR="00A4320E" w:rsidRPr="00A64072" w:rsidRDefault="00A4320E" w:rsidP="00617DF2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Pr="00A64072">
        <w:rPr>
          <w:highlight w:val="lightGray"/>
        </w:rPr>
        <w:t xml:space="preserve">Nahraďte údaji </w:t>
      </w:r>
      <w:r w:rsidR="006A5C84" w:rsidRPr="00A64072">
        <w:rPr>
          <w:highlight w:val="lightGray"/>
        </w:rPr>
        <w:t xml:space="preserve">vypočtenými </w:t>
      </w:r>
      <w:r w:rsidRPr="00A64072">
        <w:rPr>
          <w:highlight w:val="lightGray"/>
        </w:rPr>
        <w:t>z finančního plánu projektu</w:t>
      </w:r>
      <w:r w:rsidR="0078028D" w:rsidRPr="00A64072">
        <w:rPr>
          <w:highlight w:val="lightGray"/>
        </w:rPr>
        <w:t xml:space="preserve"> (postup pro výpočty milníků je uveden v </w:t>
      </w:r>
      <w:proofErr w:type="spellStart"/>
      <w:r w:rsidR="0078028D" w:rsidRPr="00A64072">
        <w:rPr>
          <w:highlight w:val="lightGray"/>
        </w:rPr>
        <w:t>PpŽP</w:t>
      </w:r>
      <w:proofErr w:type="spellEnd"/>
      <w:r w:rsidR="0078028D" w:rsidRPr="00A64072">
        <w:rPr>
          <w:highlight w:val="lightGray"/>
        </w:rPr>
        <w:t>)</w:t>
      </w:r>
      <w:r w:rsidRPr="00A64072">
        <w:rPr>
          <w:highlight w:val="lightGray"/>
        </w:rPr>
        <w:t>.</w:t>
      </w:r>
    </w:p>
  </w:footnote>
  <w:footnote w:id="13">
    <w:p w14:paraId="4F05E2FA" w14:textId="45B7B5CC" w:rsidR="00B348B1" w:rsidRPr="00A64072" w:rsidRDefault="00B348B1" w:rsidP="00E87FA1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EB2071" w:rsidRPr="00A64072">
        <w:rPr>
          <w:highlight w:val="lightGray"/>
        </w:rPr>
        <w:tab/>
      </w:r>
      <w:r w:rsidR="009A0B9B"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 odstraňte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796D7B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14">
    <w:p w14:paraId="3856706A" w14:textId="3DDDFB2D" w:rsidR="00D6258E" w:rsidRPr="00E87FA1" w:rsidRDefault="00D6258E" w:rsidP="00617DF2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A919AD" w:rsidRPr="00580746">
        <w:t>Zjednodušenými metodami vykazování se rozumí p</w:t>
      </w:r>
      <w:r w:rsidRPr="00580746">
        <w:t>aušální výdaj</w:t>
      </w:r>
      <w:r w:rsidR="00A919AD" w:rsidRPr="00580746">
        <w:t>e</w:t>
      </w:r>
      <w:r w:rsidRPr="00580746">
        <w:t xml:space="preserve"> podle § 14 odst. 6 písm. a), b) a c) rozpočtových pravidel.</w:t>
      </w:r>
    </w:p>
  </w:footnote>
  <w:footnote w:id="15">
    <w:p w14:paraId="09E3DA47" w14:textId="09C650F0" w:rsidR="00145833" w:rsidRPr="00617DF2" w:rsidRDefault="00145833" w:rsidP="00617DF2">
      <w:pPr>
        <w:pStyle w:val="Textpoznpodarou"/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Změňte „7“ na „6“, pokud byl vypuštěn bod 4.1 části II, tj. pokud projekt trvá </w:t>
      </w:r>
      <w:r w:rsidR="00306A5C" w:rsidRPr="00A64072">
        <w:rPr>
          <w:highlight w:val="lightGray"/>
        </w:rPr>
        <w:t>do</w:t>
      </w:r>
      <w:r w:rsidRPr="00A64072">
        <w:rPr>
          <w:highlight w:val="lightGray"/>
        </w:rPr>
        <w:t xml:space="preserve"> 30 měsíců </w:t>
      </w:r>
      <w:r w:rsidR="00306A5C" w:rsidRPr="00A64072">
        <w:rPr>
          <w:highlight w:val="lightGray"/>
        </w:rPr>
        <w:t xml:space="preserve">(včetně) </w:t>
      </w:r>
      <w:r w:rsidRPr="00A64072">
        <w:rPr>
          <w:highlight w:val="lightGray"/>
        </w:rPr>
        <w:t>a nemá milníky.</w:t>
      </w:r>
    </w:p>
  </w:footnote>
  <w:footnote w:id="16">
    <w:p w14:paraId="4F05E2FD" w14:textId="0FC4618F" w:rsidR="00B348B1" w:rsidRPr="00974527" w:rsidRDefault="00B348B1" w:rsidP="00DC1AD9">
      <w:pPr>
        <w:pStyle w:val="Textpoznpodarou"/>
        <w:tabs>
          <w:tab w:val="left" w:pos="142"/>
        </w:tabs>
        <w:spacing w:after="0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rPr>
          <w:rStyle w:val="Znakapoznpodarou"/>
          <w:vertAlign w:val="baseline"/>
        </w:rPr>
        <w:t xml:space="preserve"> </w:t>
      </w:r>
      <w:r w:rsidR="00741B3F" w:rsidRPr="00580746">
        <w:tab/>
      </w:r>
      <w:r w:rsidRPr="00580746">
        <w:t>Zejména zákonem č. 134/2016 Sb., o zadávání veřejných zakázek, ve znění pozdějších předpisů.</w:t>
      </w:r>
    </w:p>
  </w:footnote>
  <w:footnote w:id="17">
    <w:p w14:paraId="79D96328" w14:textId="77777777" w:rsidR="00A53FDE" w:rsidRDefault="00A53FDE" w:rsidP="00A53FDE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8">
    <w:p w14:paraId="4F05E2FE" w14:textId="54FDD15D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  <w:highlight w:val="lightGray"/>
        </w:rPr>
      </w:pPr>
      <w:r w:rsidRPr="00580746">
        <w:rPr>
          <w:rStyle w:val="Znakapoznpodarou"/>
          <w:szCs w:val="16"/>
        </w:rPr>
        <w:footnoteRef/>
      </w:r>
      <w:r w:rsidRPr="00580746">
        <w:rPr>
          <w:szCs w:val="16"/>
        </w:rPr>
        <w:t xml:space="preserve"> </w:t>
      </w:r>
      <w:r w:rsidR="003E4775" w:rsidRPr="00580746">
        <w:rPr>
          <w:szCs w:val="16"/>
        </w:rPr>
        <w:tab/>
      </w:r>
      <w:r w:rsidRPr="00580746">
        <w:rPr>
          <w:szCs w:val="16"/>
        </w:rPr>
        <w:t>Zejména zákon č. 255/2012 Sb., o kontrole (kontrolní řád), ve znění pozdějších předpisů, a zákon č. 320/2001 Sb., o finanční kontrole ve</w:t>
      </w:r>
      <w:r w:rsidR="004D07A7">
        <w:rPr>
          <w:szCs w:val="16"/>
        </w:rPr>
        <w:t> </w:t>
      </w:r>
      <w:r w:rsidRPr="00580746">
        <w:rPr>
          <w:szCs w:val="16"/>
        </w:rPr>
        <w:t xml:space="preserve">veřejné správě, ve znění pozdějších předpisů. </w:t>
      </w:r>
    </w:p>
  </w:footnote>
  <w:footnote w:id="19">
    <w:p w14:paraId="4F05E2FF" w14:textId="33C62E73" w:rsidR="00B348B1" w:rsidRPr="00A64072" w:rsidRDefault="00B348B1" w:rsidP="00DC1AD9">
      <w:pPr>
        <w:pStyle w:val="Textpoznpodarou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64072">
        <w:rPr>
          <w:rStyle w:val="Znakapoznpodarou"/>
          <w:szCs w:val="16"/>
          <w:highlight w:val="lightGray"/>
        </w:rPr>
        <w:footnoteRef/>
      </w:r>
      <w:r w:rsidRPr="00A64072">
        <w:rPr>
          <w:szCs w:val="16"/>
          <w:highlight w:val="lightGray"/>
        </w:rPr>
        <w:t xml:space="preserve"> </w:t>
      </w:r>
      <w:r w:rsidR="003E4775" w:rsidRPr="00A64072">
        <w:rPr>
          <w:szCs w:val="16"/>
          <w:highlight w:val="lightGray"/>
        </w:rPr>
        <w:tab/>
      </w:r>
      <w:r w:rsidR="00F70181"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0">
    <w:p w14:paraId="1FEE69D7" w14:textId="742A4E25" w:rsidR="00B348B1" w:rsidRPr="00580746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</w:pPr>
      <w:r w:rsidRPr="00580746">
        <w:rPr>
          <w:rStyle w:val="Znakapoznpodarou"/>
        </w:rPr>
        <w:footnoteRef/>
      </w:r>
      <w:r w:rsidRPr="00580746">
        <w:t xml:space="preserve"> </w:t>
      </w:r>
      <w:r w:rsidR="003E4775" w:rsidRPr="00580746">
        <w:tab/>
      </w:r>
      <w:r w:rsidRPr="00580746">
        <w:t>Na výdajový účet vrací příjemce nevyužité prostředky přijaté v daném kalendářním roce.</w:t>
      </w:r>
    </w:p>
  </w:footnote>
  <w:footnote w:id="21">
    <w:p w14:paraId="76800CFD" w14:textId="7EA063BF" w:rsidR="00196073" w:rsidRPr="00580746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 w:rsidRPr="00580746">
        <w:rPr>
          <w:rStyle w:val="Znakapoznpodarou"/>
        </w:rPr>
        <w:footnoteRef/>
      </w:r>
      <w:r w:rsidRPr="00580746">
        <w:t xml:space="preserve"> </w:t>
      </w:r>
      <w:r w:rsidR="003E4775" w:rsidRPr="00580746">
        <w:tab/>
      </w:r>
      <w:r w:rsidRPr="00580746">
        <w:t>Na účet cizích prostředků vrací příjemce nevyužité prostředky přijaté v předchozích letech.</w:t>
      </w:r>
    </w:p>
  </w:footnote>
  <w:footnote w:id="22">
    <w:p w14:paraId="6C75AEE2" w14:textId="5E693866" w:rsidR="00B348B1" w:rsidRPr="00E87FA1" w:rsidRDefault="00B348B1" w:rsidP="00964191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3E4775" w:rsidRPr="00A64072">
        <w:rPr>
          <w:highlight w:val="lightGray"/>
        </w:rPr>
        <w:tab/>
      </w:r>
      <w:r w:rsidR="009A0B9B" w:rsidRPr="00A64072">
        <w:rPr>
          <w:rFonts w:eastAsiaTheme="minorHAnsi" w:cstheme="minorBidi"/>
          <w:color w:val="080808"/>
          <w:szCs w:val="16"/>
          <w:highlight w:val="lightGray"/>
          <w:lang w:eastAsia="en-US"/>
        </w:rPr>
        <w:t>Označený text</w:t>
      </w:r>
      <w:r w:rsidRPr="00A64072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 odstraňte, </w:t>
      </w:r>
      <w:bookmarkStart w:id="31" w:name="_Hlk163564980"/>
      <w:r w:rsidRPr="00A64072">
        <w:rPr>
          <w:rFonts w:eastAsiaTheme="minorHAnsi" w:cstheme="minorBidi"/>
          <w:color w:val="080808"/>
          <w:szCs w:val="16"/>
          <w:highlight w:val="lightGray"/>
          <w:lang w:eastAsia="en-US"/>
        </w:rPr>
        <w:t xml:space="preserve">pokud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highlight w:val="lightGray"/>
        </w:rPr>
        <w:t>.</w:t>
      </w:r>
    </w:p>
    <w:bookmarkEnd w:id="31"/>
  </w:footnote>
  <w:footnote w:id="23">
    <w:p w14:paraId="79C30FF4" w14:textId="3F581628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3E4775" w:rsidRPr="00580746">
        <w:tab/>
      </w:r>
      <w:r w:rsidRPr="00580746">
        <w:t>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B67A31" w:rsidRPr="00580746">
        <w:t xml:space="preserve"> </w:t>
      </w:r>
      <w:bookmarkStart w:id="33" w:name="_Hlk138346319"/>
      <w:r w:rsidR="00B67A31" w:rsidRPr="00580746">
        <w:t>Pronájem pouze po část dne se započítává jako celý kalendářní den.</w:t>
      </w:r>
      <w:bookmarkEnd w:id="33"/>
    </w:p>
  </w:footnote>
  <w:footnote w:id="24">
    <w:p w14:paraId="790C5F37" w14:textId="1079356A" w:rsidR="00B348B1" w:rsidRPr="00E87FA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3E4775" w:rsidRPr="00580746">
        <w:tab/>
      </w:r>
      <w:r w:rsidRPr="00580746"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 w:rsidRPr="00580746">
        <w:t>nehospodářských</w:t>
      </w:r>
      <w:proofErr w:type="spellEnd"/>
      <w:r w:rsidRPr="00580746">
        <w:t xml:space="preserve"> činností. </w:t>
      </w:r>
    </w:p>
  </w:footnote>
  <w:footnote w:id="25">
    <w:p w14:paraId="750DB031" w14:textId="58DA328C" w:rsidR="00696BC2" w:rsidRPr="00E87FA1" w:rsidRDefault="00696BC2" w:rsidP="0042610B">
      <w:pPr>
        <w:pStyle w:val="Textpoznpodarou"/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Odstraňte </w:t>
      </w:r>
      <w:r w:rsidR="003B1EC1" w:rsidRPr="00A64072">
        <w:rPr>
          <w:highlight w:val="lightGray"/>
        </w:rPr>
        <w:t xml:space="preserve">text </w:t>
      </w:r>
      <w:r w:rsidRPr="00A64072">
        <w:rPr>
          <w:highlight w:val="lightGray"/>
        </w:rPr>
        <w:t>„</w:t>
      </w:r>
      <w:r w:rsidR="003B1EC1" w:rsidRPr="00A64072">
        <w:rPr>
          <w:highlight w:val="lightGray"/>
        </w:rPr>
        <w:t xml:space="preserve">a </w:t>
      </w:r>
      <w:r w:rsidRPr="00A64072">
        <w:rPr>
          <w:highlight w:val="lightGray"/>
        </w:rPr>
        <w:t>udržitelnosti“, pokud</w:t>
      </w:r>
      <w:r w:rsidR="00C80B9B" w:rsidRPr="00A64072">
        <w:rPr>
          <w:highlight w:val="lightGray"/>
        </w:rPr>
        <w:t xml:space="preserve">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="00C80B9B" w:rsidRPr="00A64072">
        <w:rPr>
          <w:highlight w:val="lightGray"/>
        </w:rPr>
        <w:t>.</w:t>
      </w:r>
    </w:p>
  </w:footnote>
  <w:footnote w:id="26">
    <w:p w14:paraId="3B435AEF" w14:textId="5EBE9C57" w:rsidR="00B348B1" w:rsidRPr="00E87FA1" w:rsidDel="00880235" w:rsidRDefault="00B348B1" w:rsidP="00AD23E5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  <w:highlight w:val="lightGray"/>
        </w:rPr>
      </w:pPr>
      <w:r w:rsidRPr="00580746" w:rsidDel="00880235">
        <w:rPr>
          <w:rStyle w:val="Znakapoznpodarou"/>
          <w:szCs w:val="16"/>
        </w:rPr>
        <w:footnoteRef/>
      </w:r>
      <w:r w:rsidRPr="00580746" w:rsidDel="00880235">
        <w:rPr>
          <w:szCs w:val="16"/>
        </w:rPr>
        <w:t xml:space="preserve"> </w:t>
      </w:r>
      <w:r w:rsidR="003E4775" w:rsidRPr="00580746">
        <w:rPr>
          <w:szCs w:val="16"/>
        </w:rPr>
        <w:tab/>
      </w:r>
      <w:r w:rsidRPr="00580746" w:rsidDel="00880235">
        <w:rPr>
          <w:szCs w:val="16"/>
        </w:rPr>
        <w:t xml:space="preserve">Zejména v souladu s § 16 zákona č. 130/2002 Sb., </w:t>
      </w:r>
      <w:r w:rsidR="00316826" w:rsidRPr="00580746">
        <w:t xml:space="preserve">o podpoře výzkumu, experimentálního vývoje a inovací z veřejných prostředků a o změně některých souvisejících zákonů (zákon o podpoře výzkumu, experimentálního vývoje a inovací), ve znění pozdějších předpisů </w:t>
      </w:r>
      <w:r w:rsidRPr="00580746">
        <w:rPr>
          <w:szCs w:val="16"/>
        </w:rPr>
        <w:t>a</w:t>
      </w:r>
      <w:r w:rsidR="004D07A7">
        <w:rPr>
          <w:szCs w:val="16"/>
        </w:rPr>
        <w:t> </w:t>
      </w:r>
      <w:r w:rsidRPr="00580746">
        <w:rPr>
          <w:szCs w:val="16"/>
        </w:rPr>
        <w:t xml:space="preserve">Směrnicí Evropského parlamentu a Rady (EU) 2019/1024 ze dne </w:t>
      </w:r>
      <w:r w:rsidRPr="00580746">
        <w:rPr>
          <w:rFonts w:cstheme="minorHAnsi"/>
        </w:rPr>
        <w:t>20. června 2019 o otevřených</w:t>
      </w:r>
      <w:r w:rsidRPr="00580746">
        <w:rPr>
          <w:szCs w:val="16"/>
        </w:rPr>
        <w:t xml:space="preserve"> datech a opakovaném použití informací veřejného sektoru</w:t>
      </w:r>
      <w:r w:rsidRPr="00580746" w:rsidDel="00880235">
        <w:rPr>
          <w:szCs w:val="16"/>
        </w:rPr>
        <w:t xml:space="preserve">. </w:t>
      </w:r>
    </w:p>
  </w:footnote>
  <w:footnote w:id="27">
    <w:p w14:paraId="75D56D7D" w14:textId="2869398F" w:rsidR="00B348B1" w:rsidRPr="00E87FA1" w:rsidRDefault="00B348B1" w:rsidP="00AD23E5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D23E5">
        <w:rPr>
          <w:rStyle w:val="Znakapoznpodarou"/>
          <w:highlight w:val="lightGray"/>
        </w:rPr>
        <w:footnoteRef/>
      </w:r>
      <w:r w:rsidRPr="00AD23E5">
        <w:rPr>
          <w:highlight w:val="lightGray"/>
        </w:rPr>
        <w:t xml:space="preserve"> </w:t>
      </w:r>
      <w:r w:rsidR="007E0991" w:rsidRPr="00AD23E5">
        <w:rPr>
          <w:highlight w:val="lightGray"/>
        </w:rPr>
        <w:tab/>
      </w:r>
      <w:r w:rsidR="009A0B9B" w:rsidRPr="00AD23E5">
        <w:rPr>
          <w:highlight w:val="lightGray"/>
        </w:rPr>
        <w:t>Označený</w:t>
      </w:r>
      <w:r w:rsidRPr="00AD23E5">
        <w:rPr>
          <w:highlight w:val="lightGray"/>
        </w:rPr>
        <w:t xml:space="preserve"> text odstraňte, </w:t>
      </w:r>
      <w:r w:rsidR="009A0B9B" w:rsidRPr="00AD23E5">
        <w:rPr>
          <w:highlight w:val="lightGray"/>
        </w:rPr>
        <w:t>pokud</w:t>
      </w:r>
      <w:r w:rsidRPr="00AD23E5">
        <w:rPr>
          <w:highlight w:val="lightGray"/>
        </w:rPr>
        <w:t xml:space="preserve"> </w:t>
      </w:r>
      <w:r w:rsidR="00685E40" w:rsidRPr="00AD23E5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D23E5">
        <w:rPr>
          <w:highlight w:val="lightGray"/>
        </w:rPr>
        <w:t>.</w:t>
      </w:r>
    </w:p>
  </w:footnote>
  <w:footnote w:id="28">
    <w:p w14:paraId="4F05E306" w14:textId="780D35D7" w:rsidR="00B348B1" w:rsidRPr="00580746" w:rsidRDefault="00B348B1" w:rsidP="00AD23E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580746">
        <w:rPr>
          <w:rStyle w:val="Znakapoznpodarou"/>
        </w:rPr>
        <w:footnoteRef/>
      </w:r>
      <w:r w:rsidRPr="00580746">
        <w:t xml:space="preserve"> </w:t>
      </w:r>
      <w:r w:rsidR="007E0991" w:rsidRPr="00580746">
        <w:tab/>
      </w:r>
      <w:r w:rsidRPr="00580746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9">
    <w:p w14:paraId="02B2C4A7" w14:textId="3A1E6932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7E0991" w:rsidRPr="00580746">
        <w:tab/>
      </w:r>
      <w:r w:rsidRPr="00580746">
        <w:t>Sdělení Komise Rámec pro státní podporu výzkumu, vývoje a inovací č. 20</w:t>
      </w:r>
      <w:r w:rsidR="005F332C" w:rsidRPr="00580746">
        <w:t>22</w:t>
      </w:r>
      <w:r w:rsidRPr="00580746">
        <w:t xml:space="preserve">/C </w:t>
      </w:r>
      <w:r w:rsidR="005F332C" w:rsidRPr="00580746">
        <w:t>414</w:t>
      </w:r>
      <w:r w:rsidRPr="00580746">
        <w:t>/01.</w:t>
      </w:r>
    </w:p>
  </w:footnote>
  <w:footnote w:id="30">
    <w:p w14:paraId="639B629C" w14:textId="67D1DCDE" w:rsidR="008A5B49" w:rsidRPr="00A64072" w:rsidRDefault="008A5B49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7E0991" w:rsidRPr="00A64072">
        <w:rPr>
          <w:highlight w:val="lightGray"/>
        </w:rPr>
        <w:tab/>
      </w:r>
      <w:r w:rsidR="009A0B9B" w:rsidRPr="00A64072">
        <w:rPr>
          <w:highlight w:val="lightGray"/>
        </w:rPr>
        <w:t>Označený text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1">
    <w:p w14:paraId="4F05E30B" w14:textId="79131A25" w:rsidR="00B348B1" w:rsidRPr="00A64072" w:rsidRDefault="00B348B1" w:rsidP="00DC1AD9">
      <w:pPr>
        <w:pStyle w:val="Textpoznpodarou"/>
        <w:tabs>
          <w:tab w:val="clear" w:pos="227"/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7E0991" w:rsidRPr="00A64072">
        <w:rPr>
          <w:highlight w:val="lightGray"/>
        </w:rPr>
        <w:tab/>
      </w:r>
      <w:r w:rsidR="009A0B9B" w:rsidRPr="00A64072">
        <w:rPr>
          <w:highlight w:val="lightGray"/>
        </w:rPr>
        <w:t>Označený text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32">
    <w:p w14:paraId="4F05E30C" w14:textId="4CAE1130" w:rsidR="00B348B1" w:rsidRPr="00E87FA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rFonts w:ascii="Arial" w:hAnsi="Arial" w:cs="Arial"/>
          <w:szCs w:val="16"/>
          <w:highlight w:val="lightGray"/>
        </w:rPr>
      </w:pPr>
      <w:r w:rsidRPr="00580746">
        <w:rPr>
          <w:rStyle w:val="Znakapoznpodarou"/>
        </w:rPr>
        <w:footnoteRef/>
      </w:r>
      <w:r w:rsidRPr="00580746">
        <w:t xml:space="preserve"> </w:t>
      </w:r>
      <w:r w:rsidR="0090335C" w:rsidRPr="00580746">
        <w:tab/>
      </w:r>
      <w:r w:rsidRPr="00580746">
        <w:t>Vedlejší hospodářské využití – bude se jednat o takovou činnost, která přímo souvisí s provozem výzkumné organizace</w:t>
      </w:r>
      <w:r w:rsidR="00046778" w:rsidRPr="00580746">
        <w:t xml:space="preserve"> </w:t>
      </w:r>
      <w:r w:rsidRPr="00580746">
        <w:t>/</w:t>
      </w:r>
      <w:r w:rsidR="00046778" w:rsidRPr="00580746">
        <w:t xml:space="preserve"> </w:t>
      </w:r>
      <w:r w:rsidRPr="00580746">
        <w:t xml:space="preserve">výzkumné infrastruktury a je pro její provoz nezbytná či je neoddělitelně spojena s jejím hlavním </w:t>
      </w:r>
      <w:proofErr w:type="spellStart"/>
      <w:r w:rsidRPr="00580746">
        <w:t>nehospodářským</w:t>
      </w:r>
      <w:proofErr w:type="spellEnd"/>
      <w:r w:rsidRPr="00580746">
        <w:t xml:space="preserve"> využitím a je omezena co do rozsahu. Pro účely Rámce </w:t>
      </w:r>
      <w:proofErr w:type="spellStart"/>
      <w:r w:rsidR="00D75ECC" w:rsidRPr="00580746">
        <w:t>VaVaI</w:t>
      </w:r>
      <w:proofErr w:type="spellEnd"/>
      <w:r w:rsidRPr="00580746">
        <w:t xml:space="preserve"> bude podle Komise tato podmínka splněna v případě, že pro hospodářské činnosti budou využívány naprosto stejné vstupy (např. materiál, zařízení, pracovní síla a fixní kapitál) jako u </w:t>
      </w:r>
      <w:proofErr w:type="spellStart"/>
      <w:r w:rsidRPr="00580746">
        <w:t>nehospodářských</w:t>
      </w:r>
      <w:proofErr w:type="spellEnd"/>
      <w:r w:rsidRPr="00580746">
        <w:t xml:space="preserve"> činností a kapacita přidělená každý rok na tyto hospodářské činnosti nepřesáhne 20 % celkové roční kapacity.</w:t>
      </w:r>
    </w:p>
  </w:footnote>
  <w:footnote w:id="33">
    <w:p w14:paraId="4F05E30D" w14:textId="3FD147A1" w:rsidR="00B348B1" w:rsidRPr="00A64072" w:rsidRDefault="00B348B1" w:rsidP="00DC1AD9">
      <w:pPr>
        <w:pStyle w:val="Textpoznpodarou"/>
        <w:tabs>
          <w:tab w:val="left" w:pos="142"/>
        </w:tabs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90335C" w:rsidRPr="00A64072">
        <w:rPr>
          <w:highlight w:val="lightGray"/>
        </w:rPr>
        <w:tab/>
      </w:r>
      <w:r w:rsidR="009A0B9B"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odstraňte, pokud </w:t>
      </w:r>
      <w:bookmarkStart w:id="39" w:name="_Hlk163567409"/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bookmarkEnd w:id="39"/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64072">
        <w:rPr>
          <w:highlight w:val="lightGray"/>
        </w:rPr>
        <w:t xml:space="preserve"> </w:t>
      </w:r>
    </w:p>
  </w:footnote>
  <w:footnote w:id="34">
    <w:p w14:paraId="15F57D5E" w14:textId="030FE3DE" w:rsidR="00F6711B" w:rsidRPr="00E87FA1" w:rsidRDefault="00F6711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="00B57A59" w:rsidRPr="00A64072">
        <w:rPr>
          <w:highlight w:val="lightGray"/>
        </w:rPr>
        <w:tab/>
      </w:r>
      <w:r w:rsidR="00FB225C" w:rsidRPr="00A64072">
        <w:rPr>
          <w:highlight w:val="lightGray"/>
        </w:rPr>
        <w:t>Označený text odstraňte</w:t>
      </w:r>
      <w:r w:rsidRPr="00A64072">
        <w:rPr>
          <w:highlight w:val="lightGray"/>
        </w:rPr>
        <w:t xml:space="preserve">, pokud </w:t>
      </w:r>
      <w:r w:rsidR="00F76013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projekt neobsahuje Aktivitu 2</w:t>
      </w:r>
      <w:r w:rsidRPr="00A64072">
        <w:rPr>
          <w:highlight w:val="lightGray"/>
        </w:rPr>
        <w:t>.</w:t>
      </w:r>
    </w:p>
  </w:footnote>
  <w:footnote w:id="35">
    <w:p w14:paraId="01CECC68" w14:textId="77777777" w:rsidR="00B02B18" w:rsidRPr="00974527" w:rsidRDefault="00B02B18" w:rsidP="00B02B18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V případě, že jste v části II odstranili bod 4.1, odstraňte i tento bod a následující body části IV přečíslujte.</w:t>
      </w:r>
      <w:r w:rsidRPr="00974527">
        <w:rPr>
          <w:highlight w:val="lightGray"/>
        </w:rPr>
        <w:t xml:space="preserve"> </w:t>
      </w:r>
    </w:p>
  </w:footnote>
  <w:footnote w:id="36">
    <w:p w14:paraId="134B93BB" w14:textId="073B1D7E" w:rsidR="00F170B8" w:rsidRPr="006E6B52" w:rsidRDefault="00F170B8" w:rsidP="00974527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E6B52">
        <w:rPr>
          <w:rStyle w:val="Znakapoznpodarou"/>
          <w:sz w:val="16"/>
          <w:szCs w:val="16"/>
        </w:rPr>
        <w:footnoteRef/>
      </w:r>
      <w:r w:rsidRPr="006E6B52">
        <w:rPr>
          <w:sz w:val="16"/>
          <w:szCs w:val="16"/>
        </w:rPr>
        <w:t xml:space="preserve"> </w:t>
      </w:r>
      <w:r w:rsidR="006C02B6" w:rsidRPr="006E6B52">
        <w:rPr>
          <w:sz w:val="16"/>
          <w:szCs w:val="16"/>
        </w:rPr>
        <w:tab/>
      </w:r>
      <w:r w:rsidRPr="006E6B52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7">
    <w:p w14:paraId="2702E3F0" w14:textId="16642384" w:rsidR="00BA0200" w:rsidRPr="00974527" w:rsidRDefault="00BA0200" w:rsidP="00974527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6E6B52">
        <w:rPr>
          <w:rStyle w:val="Znakapoznpodarou"/>
        </w:rPr>
        <w:footnoteRef/>
      </w:r>
      <w:r w:rsidR="002A77EA" w:rsidRPr="006E6B52">
        <w:t xml:space="preserve"> </w:t>
      </w:r>
      <w:r w:rsidR="006C02B6" w:rsidRPr="006E6B52">
        <w:tab/>
      </w:r>
      <w:r w:rsidR="002A77EA" w:rsidRPr="006E6B52">
        <w:t xml:space="preserve">Odkaz na Pravidla pro zadávání a kontrolu veřejných zakázek je k dispozici v kap. 7.5 </w:t>
      </w:r>
      <w:proofErr w:type="spellStart"/>
      <w:r w:rsidR="002A77EA" w:rsidRPr="006E6B52">
        <w:t>PpŽP</w:t>
      </w:r>
      <w:proofErr w:type="spellEnd"/>
      <w:r w:rsidR="002A77EA" w:rsidRPr="006E6B52">
        <w:t xml:space="preserve"> – obecná část.</w:t>
      </w:r>
    </w:p>
  </w:footnote>
  <w:footnote w:id="38">
    <w:p w14:paraId="4F05E31F" w14:textId="5180901E" w:rsidR="00B348B1" w:rsidRPr="00974527" w:rsidRDefault="00B348B1" w:rsidP="0097452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E6B52">
        <w:rPr>
          <w:rStyle w:val="Znakapoznpodarou"/>
        </w:rPr>
        <w:footnoteRef/>
      </w:r>
      <w:r w:rsidRPr="006E6B52">
        <w:t xml:space="preserve"> </w:t>
      </w:r>
      <w:r w:rsidR="006C02B6" w:rsidRPr="006E6B52">
        <w:tab/>
      </w:r>
      <w:r w:rsidRPr="006E6B52">
        <w:t xml:space="preserve">Výše odvodu za porušení rozpočtové kázně se stanovuje dle sazeb </w:t>
      </w:r>
      <w:r w:rsidR="005C3955" w:rsidRPr="006E6B52">
        <w:t>uvedených v</w:t>
      </w:r>
      <w:r w:rsidRPr="006E6B52">
        <w:t> Metodické</w:t>
      </w:r>
      <w:r w:rsidR="005C3955" w:rsidRPr="006E6B52">
        <w:t>m</w:t>
      </w:r>
      <w:r w:rsidRPr="006E6B52">
        <w:t xml:space="preserve"> pokynu Indikátory, evaluace, publicita v</w:t>
      </w:r>
      <w:r w:rsidR="00CF0323">
        <w:t xml:space="preserve"> programovém </w:t>
      </w:r>
      <w:r w:rsidRPr="006E6B52">
        <w:t>období 2021</w:t>
      </w:r>
      <w:r w:rsidR="0007506A" w:rsidRPr="006E6B52">
        <w:t>–2</w:t>
      </w:r>
      <w:r w:rsidRPr="006E6B52">
        <w:t>027, v</w:t>
      </w:r>
      <w:r w:rsidR="00384146">
        <w:t xml:space="preserve">e </w:t>
      </w:r>
      <w:r w:rsidRPr="006E6B52">
        <w:t>znění</w:t>
      </w:r>
      <w:r w:rsidR="00384146">
        <w:t xml:space="preserve"> účinném</w:t>
      </w:r>
      <w:r w:rsidRPr="006E6B52">
        <w:t xml:space="preserve"> ke dni vydání tohoto Rozhodnutí. </w:t>
      </w:r>
    </w:p>
  </w:footnote>
  <w:footnote w:id="39">
    <w:p w14:paraId="3E8EC401" w14:textId="4C723181" w:rsidR="00AB1D5C" w:rsidRPr="00E87FA1" w:rsidRDefault="00AB1D5C" w:rsidP="0097452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E6B52">
        <w:rPr>
          <w:rStyle w:val="Znakapoznpodarou"/>
        </w:rPr>
        <w:footnoteRef/>
      </w:r>
      <w:r w:rsidRPr="006E6B52">
        <w:t xml:space="preserve"> </w:t>
      </w:r>
      <w:r w:rsidRPr="006E6B52">
        <w:tab/>
        <w:t>Týká se pouze plakátu A3 a jeho obdob.</w:t>
      </w:r>
    </w:p>
  </w:footnote>
  <w:footnote w:id="40">
    <w:p w14:paraId="1794C107" w14:textId="4C25B8EC" w:rsidR="00AB4F89" w:rsidRDefault="00AB4F89" w:rsidP="00E87FA1">
      <w:pPr>
        <w:pStyle w:val="Textpoznpodarou"/>
        <w:tabs>
          <w:tab w:val="clear" w:pos="227"/>
        </w:tabs>
        <w:spacing w:after="0"/>
        <w:ind w:left="142" w:hanging="142"/>
      </w:pPr>
      <w:r w:rsidRPr="00E87FA1">
        <w:rPr>
          <w:rStyle w:val="Znakapoznpodarou"/>
          <w:highlight w:val="lightGray"/>
        </w:rPr>
        <w:footnoteRef/>
      </w:r>
      <w:r w:rsidRPr="00E87FA1">
        <w:rPr>
          <w:highlight w:val="lightGray"/>
        </w:rPr>
        <w:t xml:space="preserve"> </w:t>
      </w:r>
      <w:r w:rsidRPr="00E87FA1">
        <w:rPr>
          <w:highlight w:val="lightGray"/>
        </w:rPr>
        <w:tab/>
        <w:t xml:space="preserve">Odstraňte bod </w:t>
      </w:r>
      <w:r w:rsidR="000061A4">
        <w:rPr>
          <w:highlight w:val="lightGray"/>
        </w:rPr>
        <w:t>11</w:t>
      </w:r>
      <w:r w:rsidRPr="00E87FA1">
        <w:rPr>
          <w:highlight w:val="lightGray"/>
        </w:rPr>
        <w:t xml:space="preserve"> včetně tabulky, pokud </w:t>
      </w:r>
      <w:r w:rsidR="00384146">
        <w:rPr>
          <w:highlight w:val="lightGray"/>
        </w:rPr>
        <w:t>projekt neobsahuje</w:t>
      </w:r>
      <w:r w:rsidRPr="00E87FA1">
        <w:rPr>
          <w:highlight w:val="lightGray"/>
        </w:rPr>
        <w:t xml:space="preserve"> Aktivit</w:t>
      </w:r>
      <w:r w:rsidR="00384146">
        <w:rPr>
          <w:highlight w:val="lightGray"/>
        </w:rPr>
        <w:t>u</w:t>
      </w:r>
      <w:r w:rsidRPr="00E87FA1">
        <w:rPr>
          <w:highlight w:val="lightGray"/>
        </w:rPr>
        <w:t xml:space="preserve"> 2.</w:t>
      </w:r>
    </w:p>
  </w:footnote>
  <w:footnote w:id="41">
    <w:p w14:paraId="3389F0AF" w14:textId="0B8DCF15" w:rsidR="00AB4F89" w:rsidRPr="008F51A6" w:rsidRDefault="00AB4F89" w:rsidP="00E87FA1">
      <w:pPr>
        <w:pStyle w:val="Textpoznpodarou"/>
        <w:tabs>
          <w:tab w:val="clear" w:pos="227"/>
        </w:tabs>
        <w:spacing w:after="0"/>
        <w:ind w:left="142" w:hanging="142"/>
        <w:rPr>
          <w:rFonts w:cstheme="minorHAnsi"/>
        </w:rPr>
      </w:pPr>
      <w:r w:rsidRPr="001C4F54">
        <w:rPr>
          <w:rStyle w:val="Znakapoznpodarou"/>
        </w:rPr>
        <w:footnoteRef/>
      </w:r>
      <w:r w:rsidRPr="001C4F54">
        <w:rPr>
          <w:rStyle w:val="Znakapoznpodarou"/>
        </w:rPr>
        <w:t xml:space="preserve"> </w:t>
      </w:r>
      <w:r>
        <w:tab/>
      </w:r>
      <w:r w:rsidRPr="008F51A6">
        <w:rPr>
          <w:rFonts w:cstheme="minorHAnsi"/>
        </w:rPr>
        <w:t xml:space="preserve">Vztahuje se na ty součásti, které získaly ocenění „HR </w:t>
      </w:r>
      <w:proofErr w:type="spellStart"/>
      <w:r w:rsidRPr="008F51A6">
        <w:rPr>
          <w:rFonts w:cstheme="minorHAnsi"/>
        </w:rPr>
        <w:t>Award</w:t>
      </w:r>
      <w:proofErr w:type="spellEnd"/>
      <w:r w:rsidRPr="008F51A6">
        <w:rPr>
          <w:rFonts w:cstheme="minorHAnsi"/>
        </w:rPr>
        <w:t>“</w:t>
      </w:r>
      <w:r w:rsidR="00255FD4">
        <w:rPr>
          <w:rFonts w:cstheme="minorHAnsi"/>
        </w:rPr>
        <w:t>,</w:t>
      </w:r>
      <w:r w:rsidRPr="008F51A6">
        <w:rPr>
          <w:rFonts w:cstheme="minorHAnsi"/>
        </w:rPr>
        <w:t xml:space="preserve"> a toto ocenění jim nebylo odňato v průběhu realizace projektu.</w:t>
      </w:r>
    </w:p>
  </w:footnote>
  <w:footnote w:id="42">
    <w:p w14:paraId="4F05E321" w14:textId="4D5A0827" w:rsidR="00B348B1" w:rsidRPr="00E87FA1" w:rsidRDefault="00B348B1" w:rsidP="00E87FA1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</w:t>
      </w:r>
      <w:r w:rsidRPr="00A640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43">
    <w:p w14:paraId="17EB938B" w14:textId="11D66088" w:rsidR="00B348B1" w:rsidRDefault="00B348B1" w:rsidP="00E87FA1">
      <w:pPr>
        <w:pStyle w:val="Textpoznpodarou"/>
        <w:tabs>
          <w:tab w:val="clear" w:pos="227"/>
          <w:tab w:val="left" w:pos="142"/>
        </w:tabs>
        <w:spacing w:after="0"/>
        <w:ind w:left="284" w:hanging="284"/>
      </w:pPr>
      <w:r w:rsidRPr="00A64072">
        <w:rPr>
          <w:rStyle w:val="Znakapoznpodarou"/>
          <w:highlight w:val="lightGray"/>
        </w:rPr>
        <w:footnoteRef/>
      </w:r>
      <w:r w:rsidRPr="00A64072">
        <w:rPr>
          <w:highlight w:val="lightGray"/>
        </w:rPr>
        <w:t xml:space="preserve"> Případně ředitel pověřený v organizačním řádu</w:t>
      </w:r>
      <w:r w:rsidR="006F0F03" w:rsidRPr="00A64072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F5B"/>
    <w:multiLevelType w:val="hybridMultilevel"/>
    <w:tmpl w:val="AFA4BF76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2" w15:restartNumberingAfterBreak="0">
    <w:nsid w:val="03480620"/>
    <w:multiLevelType w:val="hybridMultilevel"/>
    <w:tmpl w:val="41ACF0EE"/>
    <w:lvl w:ilvl="0" w:tplc="6DB8C428">
      <w:start w:val="1"/>
      <w:numFmt w:val="decimal"/>
      <w:lvlText w:val="%1)"/>
      <w:lvlJc w:val="left"/>
      <w:pPr>
        <w:ind w:left="1020" w:hanging="360"/>
      </w:pPr>
    </w:lvl>
    <w:lvl w:ilvl="1" w:tplc="B160583A">
      <w:start w:val="1"/>
      <w:numFmt w:val="decimal"/>
      <w:lvlText w:val="%2)"/>
      <w:lvlJc w:val="left"/>
      <w:pPr>
        <w:ind w:left="1020" w:hanging="360"/>
      </w:pPr>
    </w:lvl>
    <w:lvl w:ilvl="2" w:tplc="262840CE">
      <w:start w:val="1"/>
      <w:numFmt w:val="decimal"/>
      <w:lvlText w:val="%3)"/>
      <w:lvlJc w:val="left"/>
      <w:pPr>
        <w:ind w:left="1020" w:hanging="360"/>
      </w:pPr>
    </w:lvl>
    <w:lvl w:ilvl="3" w:tplc="B0AA18F8">
      <w:start w:val="1"/>
      <w:numFmt w:val="decimal"/>
      <w:lvlText w:val="%4)"/>
      <w:lvlJc w:val="left"/>
      <w:pPr>
        <w:ind w:left="1020" w:hanging="360"/>
      </w:pPr>
    </w:lvl>
    <w:lvl w:ilvl="4" w:tplc="200E06B6">
      <w:start w:val="1"/>
      <w:numFmt w:val="decimal"/>
      <w:lvlText w:val="%5)"/>
      <w:lvlJc w:val="left"/>
      <w:pPr>
        <w:ind w:left="1020" w:hanging="360"/>
      </w:pPr>
    </w:lvl>
    <w:lvl w:ilvl="5" w:tplc="D8CE0724">
      <w:start w:val="1"/>
      <w:numFmt w:val="decimal"/>
      <w:lvlText w:val="%6)"/>
      <w:lvlJc w:val="left"/>
      <w:pPr>
        <w:ind w:left="1020" w:hanging="360"/>
      </w:pPr>
    </w:lvl>
    <w:lvl w:ilvl="6" w:tplc="433CBFE2">
      <w:start w:val="1"/>
      <w:numFmt w:val="decimal"/>
      <w:lvlText w:val="%7)"/>
      <w:lvlJc w:val="left"/>
      <w:pPr>
        <w:ind w:left="1020" w:hanging="360"/>
      </w:pPr>
    </w:lvl>
    <w:lvl w:ilvl="7" w:tplc="F92CD210">
      <w:start w:val="1"/>
      <w:numFmt w:val="decimal"/>
      <w:lvlText w:val="%8)"/>
      <w:lvlJc w:val="left"/>
      <w:pPr>
        <w:ind w:left="1020" w:hanging="360"/>
      </w:pPr>
    </w:lvl>
    <w:lvl w:ilvl="8" w:tplc="6B46CFC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4313A"/>
    <w:multiLevelType w:val="hybridMultilevel"/>
    <w:tmpl w:val="6DF49FC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2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4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983121"/>
    <w:multiLevelType w:val="hybridMultilevel"/>
    <w:tmpl w:val="387AF648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C16DC"/>
    <w:multiLevelType w:val="hybridMultilevel"/>
    <w:tmpl w:val="45426B70"/>
    <w:lvl w:ilvl="0" w:tplc="1706AC32">
      <w:start w:val="1"/>
      <w:numFmt w:val="decimal"/>
      <w:lvlText w:val="19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26080"/>
    <w:multiLevelType w:val="hybridMultilevel"/>
    <w:tmpl w:val="CC9E74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6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8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31534"/>
    <w:multiLevelType w:val="hybridMultilevel"/>
    <w:tmpl w:val="B9709E06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059A4"/>
    <w:multiLevelType w:val="hybridMultilevel"/>
    <w:tmpl w:val="680885C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D60A8"/>
    <w:multiLevelType w:val="hybridMultilevel"/>
    <w:tmpl w:val="A490CFA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4" w15:restartNumberingAfterBreak="0">
    <w:nsid w:val="54D36016"/>
    <w:multiLevelType w:val="hybridMultilevel"/>
    <w:tmpl w:val="CB3C5E6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7A46F6"/>
    <w:multiLevelType w:val="hybridMultilevel"/>
    <w:tmpl w:val="0B7865E2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4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82135A"/>
    <w:multiLevelType w:val="hybridMultilevel"/>
    <w:tmpl w:val="42E81E96"/>
    <w:lvl w:ilvl="0" w:tplc="481A5E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8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9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964C6B"/>
    <w:multiLevelType w:val="hybridMultilevel"/>
    <w:tmpl w:val="D7EAECE2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7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79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1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3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6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E86871"/>
    <w:multiLevelType w:val="hybridMultilevel"/>
    <w:tmpl w:val="DA6284EA"/>
    <w:lvl w:ilvl="0" w:tplc="99B2EE6C">
      <w:start w:val="1"/>
      <w:numFmt w:val="decimal"/>
      <w:lvlText w:val="23.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9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0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73"/>
  </w:num>
  <w:num w:numId="2" w16cid:durableId="1151094566">
    <w:abstractNumId w:val="55"/>
  </w:num>
  <w:num w:numId="3" w16cid:durableId="261452904">
    <w:abstractNumId w:val="55"/>
  </w:num>
  <w:num w:numId="4" w16cid:durableId="708795492">
    <w:abstractNumId w:val="47"/>
  </w:num>
  <w:num w:numId="5" w16cid:durableId="1070351032">
    <w:abstractNumId w:val="55"/>
  </w:num>
  <w:num w:numId="6" w16cid:durableId="2052147311">
    <w:abstractNumId w:val="42"/>
  </w:num>
  <w:num w:numId="7" w16cid:durableId="926769162">
    <w:abstractNumId w:val="12"/>
  </w:num>
  <w:num w:numId="8" w16cid:durableId="1242257190">
    <w:abstractNumId w:val="45"/>
  </w:num>
  <w:num w:numId="9" w16cid:durableId="282544319">
    <w:abstractNumId w:val="55"/>
  </w:num>
  <w:num w:numId="10" w16cid:durableId="1435901774">
    <w:abstractNumId w:val="35"/>
  </w:num>
  <w:num w:numId="11" w16cid:durableId="775179741">
    <w:abstractNumId w:val="91"/>
  </w:num>
  <w:num w:numId="12" w16cid:durableId="1284850428">
    <w:abstractNumId w:val="62"/>
  </w:num>
  <w:num w:numId="13" w16cid:durableId="30347103">
    <w:abstractNumId w:val="61"/>
  </w:num>
  <w:num w:numId="14" w16cid:durableId="1546067896">
    <w:abstractNumId w:val="43"/>
  </w:num>
  <w:num w:numId="15" w16cid:durableId="1184632603">
    <w:abstractNumId w:val="77"/>
  </w:num>
  <w:num w:numId="16" w16cid:durableId="1372729404">
    <w:abstractNumId w:val="46"/>
  </w:num>
  <w:num w:numId="17" w16cid:durableId="1976640693">
    <w:abstractNumId w:val="82"/>
  </w:num>
  <w:num w:numId="18" w16cid:durableId="142410968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64"/>
  </w:num>
  <w:num w:numId="25" w16cid:durableId="1338581790">
    <w:abstractNumId w:val="24"/>
  </w:num>
  <w:num w:numId="26" w16cid:durableId="3025871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3"/>
  </w:num>
  <w:num w:numId="28" w16cid:durableId="1705208026">
    <w:abstractNumId w:val="25"/>
  </w:num>
  <w:num w:numId="29" w16cid:durableId="111874438">
    <w:abstractNumId w:val="78"/>
  </w:num>
  <w:num w:numId="30" w16cid:durableId="317272424">
    <w:abstractNumId w:val="27"/>
  </w:num>
  <w:num w:numId="31" w16cid:durableId="1356686786">
    <w:abstractNumId w:val="1"/>
  </w:num>
  <w:num w:numId="32" w16cid:durableId="451284479">
    <w:abstractNumId w:val="84"/>
  </w:num>
  <w:num w:numId="33" w16cid:durableId="830486301">
    <w:abstractNumId w:val="68"/>
  </w:num>
  <w:num w:numId="34" w16cid:durableId="690649398">
    <w:abstractNumId w:val="76"/>
  </w:num>
  <w:num w:numId="35" w16cid:durableId="111680200">
    <w:abstractNumId w:val="23"/>
  </w:num>
  <w:num w:numId="36" w16cid:durableId="259027590">
    <w:abstractNumId w:val="53"/>
  </w:num>
  <w:num w:numId="37" w16cid:durableId="1466972327">
    <w:abstractNumId w:val="55"/>
    <w:lvlOverride w:ilvl="0">
      <w:startOverride w:val="1"/>
    </w:lvlOverride>
    <w:lvlOverride w:ilvl="1">
      <w:startOverride w:val="1"/>
    </w:lvlOverride>
  </w:num>
  <w:num w:numId="38" w16cid:durableId="1864704548">
    <w:abstractNumId w:val="6"/>
  </w:num>
  <w:num w:numId="39" w16cid:durableId="539557904">
    <w:abstractNumId w:val="63"/>
  </w:num>
  <w:num w:numId="40" w16cid:durableId="1097945873">
    <w:abstractNumId w:val="44"/>
  </w:num>
  <w:num w:numId="41" w16cid:durableId="937637883">
    <w:abstractNumId w:val="26"/>
  </w:num>
  <w:num w:numId="42" w16cid:durableId="1102795901">
    <w:abstractNumId w:val="33"/>
  </w:num>
  <w:num w:numId="43" w16cid:durableId="702440801">
    <w:abstractNumId w:val="22"/>
  </w:num>
  <w:num w:numId="44" w16cid:durableId="586772159">
    <w:abstractNumId w:val="89"/>
  </w:num>
  <w:num w:numId="45" w16cid:durableId="1424570172">
    <w:abstractNumId w:val="19"/>
  </w:num>
  <w:num w:numId="46" w16cid:durableId="1698702623">
    <w:abstractNumId w:val="80"/>
  </w:num>
  <w:num w:numId="47" w16cid:durableId="1670282421">
    <w:abstractNumId w:val="72"/>
  </w:num>
  <w:num w:numId="48" w16cid:durableId="689844475">
    <w:abstractNumId w:val="83"/>
  </w:num>
  <w:num w:numId="49" w16cid:durableId="804156987">
    <w:abstractNumId w:val="67"/>
  </w:num>
  <w:num w:numId="50" w16cid:durableId="1435633263">
    <w:abstractNumId w:val="36"/>
  </w:num>
  <w:num w:numId="51" w16cid:durableId="1956060877">
    <w:abstractNumId w:val="79"/>
  </w:num>
  <w:num w:numId="52" w16cid:durableId="1459639525">
    <w:abstractNumId w:val="3"/>
  </w:num>
  <w:num w:numId="53" w16cid:durableId="1877503071">
    <w:abstractNumId w:val="11"/>
  </w:num>
  <w:num w:numId="54" w16cid:durableId="1511792343">
    <w:abstractNumId w:val="55"/>
    <w:lvlOverride w:ilvl="0">
      <w:startOverride w:val="1"/>
    </w:lvlOverride>
    <w:lvlOverride w:ilvl="1">
      <w:startOverride w:val="1"/>
    </w:lvlOverride>
  </w:num>
  <w:num w:numId="55" w16cid:durableId="1971743884">
    <w:abstractNumId w:val="31"/>
  </w:num>
  <w:num w:numId="56" w16cid:durableId="859659183">
    <w:abstractNumId w:val="55"/>
  </w:num>
  <w:num w:numId="57" w16cid:durableId="541211707">
    <w:abstractNumId w:val="86"/>
  </w:num>
  <w:num w:numId="58" w16cid:durableId="80109024">
    <w:abstractNumId w:val="55"/>
  </w:num>
  <w:num w:numId="59" w16cid:durableId="295599964">
    <w:abstractNumId w:val="48"/>
  </w:num>
  <w:num w:numId="60" w16cid:durableId="1749303949">
    <w:abstractNumId w:val="70"/>
  </w:num>
  <w:num w:numId="61" w16cid:durableId="309360097">
    <w:abstractNumId w:val="10"/>
  </w:num>
  <w:num w:numId="62" w16cid:durableId="938562828">
    <w:abstractNumId w:val="71"/>
  </w:num>
  <w:num w:numId="63" w16cid:durableId="355467525">
    <w:abstractNumId w:val="56"/>
  </w:num>
  <w:num w:numId="64" w16cid:durableId="1500347034">
    <w:abstractNumId w:val="50"/>
  </w:num>
  <w:num w:numId="65" w16cid:durableId="757410255">
    <w:abstractNumId w:val="34"/>
  </w:num>
  <w:num w:numId="66" w16cid:durableId="14429939">
    <w:abstractNumId w:val="52"/>
  </w:num>
  <w:num w:numId="67" w16cid:durableId="1471702814">
    <w:abstractNumId w:val="28"/>
  </w:num>
  <w:num w:numId="68" w16cid:durableId="1931621095">
    <w:abstractNumId w:val="88"/>
  </w:num>
  <w:num w:numId="69" w16cid:durableId="869420292">
    <w:abstractNumId w:val="57"/>
  </w:num>
  <w:num w:numId="70" w16cid:durableId="71435776">
    <w:abstractNumId w:val="51"/>
  </w:num>
  <w:num w:numId="71" w16cid:durableId="249049034">
    <w:abstractNumId w:val="21"/>
  </w:num>
  <w:num w:numId="72" w16cid:durableId="461196014">
    <w:abstractNumId w:val="49"/>
  </w:num>
  <w:num w:numId="73" w16cid:durableId="1956017066">
    <w:abstractNumId w:val="16"/>
  </w:num>
  <w:num w:numId="74" w16cid:durableId="2060006351">
    <w:abstractNumId w:val="41"/>
  </w:num>
  <w:num w:numId="75" w16cid:durableId="200016141">
    <w:abstractNumId w:val="5"/>
  </w:num>
  <w:num w:numId="76" w16cid:durableId="1886329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9"/>
  </w:num>
  <w:num w:numId="78" w16cid:durableId="1907371456">
    <w:abstractNumId w:val="69"/>
  </w:num>
  <w:num w:numId="79" w16cid:durableId="1846284508">
    <w:abstractNumId w:val="8"/>
  </w:num>
  <w:num w:numId="80" w16cid:durableId="923032838">
    <w:abstractNumId w:val="92"/>
  </w:num>
  <w:num w:numId="81" w16cid:durableId="480272103">
    <w:abstractNumId w:val="14"/>
  </w:num>
  <w:num w:numId="82" w16cid:durableId="358891413">
    <w:abstractNumId w:val="81"/>
  </w:num>
  <w:num w:numId="83" w16cid:durableId="2045788031">
    <w:abstractNumId w:val="29"/>
  </w:num>
  <w:num w:numId="84" w16cid:durableId="690381739">
    <w:abstractNumId w:val="75"/>
  </w:num>
  <w:num w:numId="85" w16cid:durableId="599993559">
    <w:abstractNumId w:val="85"/>
  </w:num>
  <w:num w:numId="86" w16cid:durableId="1391728836">
    <w:abstractNumId w:val="58"/>
  </w:num>
  <w:num w:numId="87" w16cid:durableId="1037512618">
    <w:abstractNumId w:val="59"/>
  </w:num>
  <w:num w:numId="88" w16cid:durableId="570774481">
    <w:abstractNumId w:val="30"/>
  </w:num>
  <w:num w:numId="89" w16cid:durableId="1773549032">
    <w:abstractNumId w:val="37"/>
  </w:num>
  <w:num w:numId="90" w16cid:durableId="1221285487">
    <w:abstractNumId w:val="17"/>
  </w:num>
  <w:num w:numId="91" w16cid:durableId="199589847">
    <w:abstractNumId w:val="40"/>
  </w:num>
  <w:num w:numId="92" w16cid:durableId="1862742552">
    <w:abstractNumId w:val="9"/>
  </w:num>
  <w:num w:numId="93" w16cid:durableId="814376012">
    <w:abstractNumId w:val="66"/>
  </w:num>
  <w:num w:numId="94" w16cid:durableId="1871648355">
    <w:abstractNumId w:val="90"/>
  </w:num>
  <w:num w:numId="95" w16cid:durableId="1019166453">
    <w:abstractNumId w:val="4"/>
  </w:num>
  <w:num w:numId="96" w16cid:durableId="1889759148">
    <w:abstractNumId w:val="20"/>
  </w:num>
  <w:num w:numId="97" w16cid:durableId="609817770">
    <w:abstractNumId w:val="32"/>
  </w:num>
  <w:num w:numId="98" w16cid:durableId="480315313">
    <w:abstractNumId w:val="38"/>
  </w:num>
  <w:num w:numId="99" w16cid:durableId="2042583079">
    <w:abstractNumId w:val="7"/>
  </w:num>
  <w:num w:numId="100" w16cid:durableId="1410805196">
    <w:abstractNumId w:val="18"/>
  </w:num>
  <w:num w:numId="101" w16cid:durableId="2113471556">
    <w:abstractNumId w:val="54"/>
  </w:num>
  <w:num w:numId="102" w16cid:durableId="778137542">
    <w:abstractNumId w:val="65"/>
  </w:num>
  <w:num w:numId="103" w16cid:durableId="1546483888">
    <w:abstractNumId w:val="60"/>
  </w:num>
  <w:num w:numId="104" w16cid:durableId="1677226404">
    <w:abstractNumId w:val="2"/>
  </w:num>
  <w:num w:numId="105" w16cid:durableId="1580409003">
    <w:abstractNumId w:val="0"/>
  </w:num>
  <w:num w:numId="106" w16cid:durableId="689766712">
    <w:abstractNumId w:val="87"/>
  </w:num>
  <w:num w:numId="107" w16cid:durableId="643705855">
    <w:abstractNumId w:val="15"/>
  </w:num>
  <w:num w:numId="108" w16cid:durableId="1176723795">
    <w:abstractNumId w:val="7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50E4"/>
    <w:rsid w:val="00005D86"/>
    <w:rsid w:val="00005DA4"/>
    <w:rsid w:val="000061A4"/>
    <w:rsid w:val="00006460"/>
    <w:rsid w:val="00006766"/>
    <w:rsid w:val="000069B3"/>
    <w:rsid w:val="00006A15"/>
    <w:rsid w:val="00007295"/>
    <w:rsid w:val="0000738B"/>
    <w:rsid w:val="0000776E"/>
    <w:rsid w:val="00011B0F"/>
    <w:rsid w:val="000124B7"/>
    <w:rsid w:val="00012802"/>
    <w:rsid w:val="000129D8"/>
    <w:rsid w:val="00012F1A"/>
    <w:rsid w:val="000131A5"/>
    <w:rsid w:val="00013412"/>
    <w:rsid w:val="000139EF"/>
    <w:rsid w:val="00013A38"/>
    <w:rsid w:val="00013C71"/>
    <w:rsid w:val="00014967"/>
    <w:rsid w:val="00014AAE"/>
    <w:rsid w:val="00014BF9"/>
    <w:rsid w:val="00014C94"/>
    <w:rsid w:val="00014F9C"/>
    <w:rsid w:val="00015A37"/>
    <w:rsid w:val="00016039"/>
    <w:rsid w:val="000164BF"/>
    <w:rsid w:val="00016CFF"/>
    <w:rsid w:val="0001742C"/>
    <w:rsid w:val="000202BA"/>
    <w:rsid w:val="00021082"/>
    <w:rsid w:val="0002134E"/>
    <w:rsid w:val="000215DE"/>
    <w:rsid w:val="000217F1"/>
    <w:rsid w:val="0002230B"/>
    <w:rsid w:val="000224F8"/>
    <w:rsid w:val="000229F4"/>
    <w:rsid w:val="00022B5B"/>
    <w:rsid w:val="00022C32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25C4"/>
    <w:rsid w:val="000327D8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8C3"/>
    <w:rsid w:val="00036CA0"/>
    <w:rsid w:val="00036F21"/>
    <w:rsid w:val="000371DA"/>
    <w:rsid w:val="000377AE"/>
    <w:rsid w:val="00037D1D"/>
    <w:rsid w:val="0004002E"/>
    <w:rsid w:val="0004096E"/>
    <w:rsid w:val="00040FC1"/>
    <w:rsid w:val="000410DD"/>
    <w:rsid w:val="00041329"/>
    <w:rsid w:val="00041718"/>
    <w:rsid w:val="000418FE"/>
    <w:rsid w:val="00041935"/>
    <w:rsid w:val="00041D8D"/>
    <w:rsid w:val="00041EF1"/>
    <w:rsid w:val="000423D8"/>
    <w:rsid w:val="00043669"/>
    <w:rsid w:val="000443C5"/>
    <w:rsid w:val="000449BC"/>
    <w:rsid w:val="00044F60"/>
    <w:rsid w:val="000465DC"/>
    <w:rsid w:val="00046778"/>
    <w:rsid w:val="000469FB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318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598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06B"/>
    <w:rsid w:val="00072726"/>
    <w:rsid w:val="00072A07"/>
    <w:rsid w:val="00072E14"/>
    <w:rsid w:val="00072EF5"/>
    <w:rsid w:val="00073246"/>
    <w:rsid w:val="000733C2"/>
    <w:rsid w:val="00073590"/>
    <w:rsid w:val="00073A62"/>
    <w:rsid w:val="00073DD9"/>
    <w:rsid w:val="00073EA7"/>
    <w:rsid w:val="00073EFD"/>
    <w:rsid w:val="00074659"/>
    <w:rsid w:val="0007501A"/>
    <w:rsid w:val="0007506A"/>
    <w:rsid w:val="0007545F"/>
    <w:rsid w:val="00075478"/>
    <w:rsid w:val="00076082"/>
    <w:rsid w:val="0007608A"/>
    <w:rsid w:val="000761EE"/>
    <w:rsid w:val="00076495"/>
    <w:rsid w:val="00076A67"/>
    <w:rsid w:val="00076FEE"/>
    <w:rsid w:val="000771AC"/>
    <w:rsid w:val="000778F0"/>
    <w:rsid w:val="00077CB4"/>
    <w:rsid w:val="00077D45"/>
    <w:rsid w:val="00080077"/>
    <w:rsid w:val="00080434"/>
    <w:rsid w:val="00080C94"/>
    <w:rsid w:val="00080D3C"/>
    <w:rsid w:val="0008120C"/>
    <w:rsid w:val="0008171F"/>
    <w:rsid w:val="00082339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1B96"/>
    <w:rsid w:val="00092F73"/>
    <w:rsid w:val="000936D3"/>
    <w:rsid w:val="000938D7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1BD7"/>
    <w:rsid w:val="000A2843"/>
    <w:rsid w:val="000A28CE"/>
    <w:rsid w:val="000A2D97"/>
    <w:rsid w:val="000A4408"/>
    <w:rsid w:val="000A45D4"/>
    <w:rsid w:val="000A48A3"/>
    <w:rsid w:val="000A4A58"/>
    <w:rsid w:val="000A612B"/>
    <w:rsid w:val="000A6657"/>
    <w:rsid w:val="000A67AD"/>
    <w:rsid w:val="000A6ECD"/>
    <w:rsid w:val="000A71BF"/>
    <w:rsid w:val="000A7210"/>
    <w:rsid w:val="000A774F"/>
    <w:rsid w:val="000A7786"/>
    <w:rsid w:val="000A7FD4"/>
    <w:rsid w:val="000B01EA"/>
    <w:rsid w:val="000B1047"/>
    <w:rsid w:val="000B10F8"/>
    <w:rsid w:val="000B124D"/>
    <w:rsid w:val="000B22BC"/>
    <w:rsid w:val="000B2819"/>
    <w:rsid w:val="000B3BA7"/>
    <w:rsid w:val="000B4258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4A8"/>
    <w:rsid w:val="000C0B78"/>
    <w:rsid w:val="000C16A0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79E5"/>
    <w:rsid w:val="000E074C"/>
    <w:rsid w:val="000E114A"/>
    <w:rsid w:val="000E150D"/>
    <w:rsid w:val="000E31DA"/>
    <w:rsid w:val="000E3794"/>
    <w:rsid w:val="000E3A73"/>
    <w:rsid w:val="000E3D1D"/>
    <w:rsid w:val="000E3E09"/>
    <w:rsid w:val="000E4387"/>
    <w:rsid w:val="000E47CE"/>
    <w:rsid w:val="000E593E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172"/>
    <w:rsid w:val="000F36B7"/>
    <w:rsid w:val="000F3AB0"/>
    <w:rsid w:val="000F3FBC"/>
    <w:rsid w:val="000F4593"/>
    <w:rsid w:val="000F4F4A"/>
    <w:rsid w:val="000F5020"/>
    <w:rsid w:val="000F55D1"/>
    <w:rsid w:val="000F56DA"/>
    <w:rsid w:val="000F5E75"/>
    <w:rsid w:val="000F606E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1168"/>
    <w:rsid w:val="00112251"/>
    <w:rsid w:val="001122B6"/>
    <w:rsid w:val="001129AE"/>
    <w:rsid w:val="001139BE"/>
    <w:rsid w:val="00113C3B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5B08"/>
    <w:rsid w:val="00125BE6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61E"/>
    <w:rsid w:val="00136754"/>
    <w:rsid w:val="001368EB"/>
    <w:rsid w:val="0013691B"/>
    <w:rsid w:val="00136D7F"/>
    <w:rsid w:val="00136DCD"/>
    <w:rsid w:val="001371C2"/>
    <w:rsid w:val="0013783D"/>
    <w:rsid w:val="00137AE6"/>
    <w:rsid w:val="001400F8"/>
    <w:rsid w:val="00140B66"/>
    <w:rsid w:val="00141400"/>
    <w:rsid w:val="00141847"/>
    <w:rsid w:val="00141934"/>
    <w:rsid w:val="00142987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4B5"/>
    <w:rsid w:val="001506A6"/>
    <w:rsid w:val="00150D28"/>
    <w:rsid w:val="001515BB"/>
    <w:rsid w:val="0015204E"/>
    <w:rsid w:val="00152C3F"/>
    <w:rsid w:val="00153178"/>
    <w:rsid w:val="001531C9"/>
    <w:rsid w:val="00153A88"/>
    <w:rsid w:val="001540F7"/>
    <w:rsid w:val="00154FCD"/>
    <w:rsid w:val="00155631"/>
    <w:rsid w:val="001556E3"/>
    <w:rsid w:val="00155807"/>
    <w:rsid w:val="00156873"/>
    <w:rsid w:val="00157175"/>
    <w:rsid w:val="001571F2"/>
    <w:rsid w:val="00157EF1"/>
    <w:rsid w:val="00160016"/>
    <w:rsid w:val="00160134"/>
    <w:rsid w:val="00160721"/>
    <w:rsid w:val="00160FB9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D0C"/>
    <w:rsid w:val="00164AAC"/>
    <w:rsid w:val="00164F96"/>
    <w:rsid w:val="00165F89"/>
    <w:rsid w:val="0016635B"/>
    <w:rsid w:val="0016683C"/>
    <w:rsid w:val="0016730F"/>
    <w:rsid w:val="00167A30"/>
    <w:rsid w:val="001707E0"/>
    <w:rsid w:val="001707E7"/>
    <w:rsid w:val="00170CD3"/>
    <w:rsid w:val="00171F02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520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79B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7DB"/>
    <w:rsid w:val="001B7A2C"/>
    <w:rsid w:val="001B7BDA"/>
    <w:rsid w:val="001B7E73"/>
    <w:rsid w:val="001C082E"/>
    <w:rsid w:val="001C0B54"/>
    <w:rsid w:val="001C105D"/>
    <w:rsid w:val="001C25F9"/>
    <w:rsid w:val="001C2665"/>
    <w:rsid w:val="001C26C0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145"/>
    <w:rsid w:val="001C6C57"/>
    <w:rsid w:val="001C7D33"/>
    <w:rsid w:val="001C7EEC"/>
    <w:rsid w:val="001D077B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1E3C"/>
    <w:rsid w:val="001E260F"/>
    <w:rsid w:val="001E26BF"/>
    <w:rsid w:val="001E289E"/>
    <w:rsid w:val="001E2BF6"/>
    <w:rsid w:val="001E2D4F"/>
    <w:rsid w:val="001E421F"/>
    <w:rsid w:val="001E464A"/>
    <w:rsid w:val="001E4DDC"/>
    <w:rsid w:val="001E529D"/>
    <w:rsid w:val="001E55F6"/>
    <w:rsid w:val="001E565B"/>
    <w:rsid w:val="001E5A6A"/>
    <w:rsid w:val="001E6C97"/>
    <w:rsid w:val="001E71C1"/>
    <w:rsid w:val="001E76C4"/>
    <w:rsid w:val="001F09F8"/>
    <w:rsid w:val="001F1F3D"/>
    <w:rsid w:val="001F2656"/>
    <w:rsid w:val="001F2D94"/>
    <w:rsid w:val="001F2FF2"/>
    <w:rsid w:val="001F33E4"/>
    <w:rsid w:val="001F34EE"/>
    <w:rsid w:val="001F3927"/>
    <w:rsid w:val="001F3E46"/>
    <w:rsid w:val="001F4539"/>
    <w:rsid w:val="001F46EA"/>
    <w:rsid w:val="001F4796"/>
    <w:rsid w:val="001F5629"/>
    <w:rsid w:val="001F575D"/>
    <w:rsid w:val="001F59F6"/>
    <w:rsid w:val="001F5D00"/>
    <w:rsid w:val="001F607A"/>
    <w:rsid w:val="001F65CA"/>
    <w:rsid w:val="001F6FDD"/>
    <w:rsid w:val="001F74A8"/>
    <w:rsid w:val="0020022B"/>
    <w:rsid w:val="00200787"/>
    <w:rsid w:val="00200DA0"/>
    <w:rsid w:val="00201600"/>
    <w:rsid w:val="0020167D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1C"/>
    <w:rsid w:val="002147C6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4F1F"/>
    <w:rsid w:val="00235906"/>
    <w:rsid w:val="00235FD3"/>
    <w:rsid w:val="002369C1"/>
    <w:rsid w:val="00236B46"/>
    <w:rsid w:val="00236BFE"/>
    <w:rsid w:val="0023718C"/>
    <w:rsid w:val="00237C56"/>
    <w:rsid w:val="00240346"/>
    <w:rsid w:val="00240AF8"/>
    <w:rsid w:val="00240FAA"/>
    <w:rsid w:val="0024116A"/>
    <w:rsid w:val="00242695"/>
    <w:rsid w:val="00242BC8"/>
    <w:rsid w:val="002433D5"/>
    <w:rsid w:val="00243CD3"/>
    <w:rsid w:val="00243E80"/>
    <w:rsid w:val="00244445"/>
    <w:rsid w:val="00244BCA"/>
    <w:rsid w:val="002458DE"/>
    <w:rsid w:val="00246074"/>
    <w:rsid w:val="002460E0"/>
    <w:rsid w:val="002476B8"/>
    <w:rsid w:val="00247F40"/>
    <w:rsid w:val="00250219"/>
    <w:rsid w:val="00250598"/>
    <w:rsid w:val="0025073E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5FD4"/>
    <w:rsid w:val="00256494"/>
    <w:rsid w:val="002573F2"/>
    <w:rsid w:val="00257645"/>
    <w:rsid w:val="002579E4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937"/>
    <w:rsid w:val="00263F82"/>
    <w:rsid w:val="002646DA"/>
    <w:rsid w:val="00264AD3"/>
    <w:rsid w:val="002651AD"/>
    <w:rsid w:val="0026610B"/>
    <w:rsid w:val="00266163"/>
    <w:rsid w:val="00266A13"/>
    <w:rsid w:val="00266E22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136B"/>
    <w:rsid w:val="00281B51"/>
    <w:rsid w:val="002826D8"/>
    <w:rsid w:val="00282840"/>
    <w:rsid w:val="00283063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86"/>
    <w:rsid w:val="002935ED"/>
    <w:rsid w:val="0029389E"/>
    <w:rsid w:val="00293D8C"/>
    <w:rsid w:val="00295001"/>
    <w:rsid w:val="00295236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1C3B"/>
    <w:rsid w:val="002A2653"/>
    <w:rsid w:val="002A26EF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3E9"/>
    <w:rsid w:val="002B2816"/>
    <w:rsid w:val="002B2DCD"/>
    <w:rsid w:val="002B32D9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C010B"/>
    <w:rsid w:val="002C0A1F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3CC"/>
    <w:rsid w:val="002C7CEF"/>
    <w:rsid w:val="002C7F2A"/>
    <w:rsid w:val="002D0534"/>
    <w:rsid w:val="002D07D8"/>
    <w:rsid w:val="002D09FB"/>
    <w:rsid w:val="002D0F7E"/>
    <w:rsid w:val="002D100A"/>
    <w:rsid w:val="002D1FCA"/>
    <w:rsid w:val="002D2656"/>
    <w:rsid w:val="002D2877"/>
    <w:rsid w:val="002D2EDD"/>
    <w:rsid w:val="002D4010"/>
    <w:rsid w:val="002D47F0"/>
    <w:rsid w:val="002D52CE"/>
    <w:rsid w:val="002D56BA"/>
    <w:rsid w:val="002D58BC"/>
    <w:rsid w:val="002D5C44"/>
    <w:rsid w:val="002D62F3"/>
    <w:rsid w:val="002D6535"/>
    <w:rsid w:val="002D6FD7"/>
    <w:rsid w:val="002D7EDC"/>
    <w:rsid w:val="002E0483"/>
    <w:rsid w:val="002E0539"/>
    <w:rsid w:val="002E0681"/>
    <w:rsid w:val="002E099A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6925"/>
    <w:rsid w:val="002E6F05"/>
    <w:rsid w:val="002E701B"/>
    <w:rsid w:val="002E7BE4"/>
    <w:rsid w:val="002F00AB"/>
    <w:rsid w:val="002F1AE1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77F5"/>
    <w:rsid w:val="002F78C6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58D0"/>
    <w:rsid w:val="00305E40"/>
    <w:rsid w:val="00305EBF"/>
    <w:rsid w:val="00306A5C"/>
    <w:rsid w:val="00306C6B"/>
    <w:rsid w:val="00307016"/>
    <w:rsid w:val="00307E87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2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07A"/>
    <w:rsid w:val="00340289"/>
    <w:rsid w:val="00340CFF"/>
    <w:rsid w:val="00340D25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72D"/>
    <w:rsid w:val="00346116"/>
    <w:rsid w:val="00346488"/>
    <w:rsid w:val="0034690F"/>
    <w:rsid w:val="00346997"/>
    <w:rsid w:val="00346D71"/>
    <w:rsid w:val="003474D4"/>
    <w:rsid w:val="003475B7"/>
    <w:rsid w:val="00347AC8"/>
    <w:rsid w:val="00347C47"/>
    <w:rsid w:val="00347CB3"/>
    <w:rsid w:val="00347FBE"/>
    <w:rsid w:val="0035054B"/>
    <w:rsid w:val="003509F2"/>
    <w:rsid w:val="003521A9"/>
    <w:rsid w:val="0035343E"/>
    <w:rsid w:val="0035374F"/>
    <w:rsid w:val="00354083"/>
    <w:rsid w:val="003546BC"/>
    <w:rsid w:val="00354A63"/>
    <w:rsid w:val="00354B9B"/>
    <w:rsid w:val="00354C32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8B0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3A4D"/>
    <w:rsid w:val="003746FD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24BC"/>
    <w:rsid w:val="00383180"/>
    <w:rsid w:val="00383ADF"/>
    <w:rsid w:val="0038410F"/>
    <w:rsid w:val="00384146"/>
    <w:rsid w:val="00384326"/>
    <w:rsid w:val="003853C4"/>
    <w:rsid w:val="00385690"/>
    <w:rsid w:val="00385BBD"/>
    <w:rsid w:val="00386AFE"/>
    <w:rsid w:val="00386D0E"/>
    <w:rsid w:val="00386DDA"/>
    <w:rsid w:val="003873AC"/>
    <w:rsid w:val="003875B2"/>
    <w:rsid w:val="003879C8"/>
    <w:rsid w:val="00387C7E"/>
    <w:rsid w:val="00387E19"/>
    <w:rsid w:val="00387E87"/>
    <w:rsid w:val="0039076B"/>
    <w:rsid w:val="00390A5C"/>
    <w:rsid w:val="00390C95"/>
    <w:rsid w:val="00391077"/>
    <w:rsid w:val="003910ED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DD6"/>
    <w:rsid w:val="003A4474"/>
    <w:rsid w:val="003A4B7F"/>
    <w:rsid w:val="003A4D30"/>
    <w:rsid w:val="003A4E53"/>
    <w:rsid w:val="003A55EE"/>
    <w:rsid w:val="003A600E"/>
    <w:rsid w:val="003A65FB"/>
    <w:rsid w:val="003A68D2"/>
    <w:rsid w:val="003A6907"/>
    <w:rsid w:val="003A6DDA"/>
    <w:rsid w:val="003A76E9"/>
    <w:rsid w:val="003A791B"/>
    <w:rsid w:val="003A7AB3"/>
    <w:rsid w:val="003A7C1A"/>
    <w:rsid w:val="003B0B25"/>
    <w:rsid w:val="003B1D8F"/>
    <w:rsid w:val="003B1EC1"/>
    <w:rsid w:val="003B23EA"/>
    <w:rsid w:val="003B243B"/>
    <w:rsid w:val="003B246E"/>
    <w:rsid w:val="003B3926"/>
    <w:rsid w:val="003B3B7D"/>
    <w:rsid w:val="003B408E"/>
    <w:rsid w:val="003B44EE"/>
    <w:rsid w:val="003B5501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33B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536"/>
    <w:rsid w:val="003F09A3"/>
    <w:rsid w:val="003F0D12"/>
    <w:rsid w:val="003F18D1"/>
    <w:rsid w:val="003F1D57"/>
    <w:rsid w:val="003F1F13"/>
    <w:rsid w:val="003F3284"/>
    <w:rsid w:val="003F3696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4E4"/>
    <w:rsid w:val="004035E2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E20"/>
    <w:rsid w:val="00406823"/>
    <w:rsid w:val="00406D11"/>
    <w:rsid w:val="004079FF"/>
    <w:rsid w:val="00407C4E"/>
    <w:rsid w:val="00407CB4"/>
    <w:rsid w:val="00407D1B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52C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4BBA"/>
    <w:rsid w:val="004251E9"/>
    <w:rsid w:val="0042574B"/>
    <w:rsid w:val="0042610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244"/>
    <w:rsid w:val="004340D3"/>
    <w:rsid w:val="00434458"/>
    <w:rsid w:val="00434C82"/>
    <w:rsid w:val="00434CA7"/>
    <w:rsid w:val="00434D99"/>
    <w:rsid w:val="004355BC"/>
    <w:rsid w:val="00435F5B"/>
    <w:rsid w:val="00436FA3"/>
    <w:rsid w:val="004371AE"/>
    <w:rsid w:val="004373F7"/>
    <w:rsid w:val="0043784E"/>
    <w:rsid w:val="004406E7"/>
    <w:rsid w:val="00440CAD"/>
    <w:rsid w:val="00440D33"/>
    <w:rsid w:val="004410B6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DDD"/>
    <w:rsid w:val="0045223D"/>
    <w:rsid w:val="00452379"/>
    <w:rsid w:val="00452B30"/>
    <w:rsid w:val="00452B3B"/>
    <w:rsid w:val="00453A25"/>
    <w:rsid w:val="00453C6B"/>
    <w:rsid w:val="00454DAA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5D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AD3"/>
    <w:rsid w:val="00472D75"/>
    <w:rsid w:val="0047318F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BE9"/>
    <w:rsid w:val="00477EAC"/>
    <w:rsid w:val="004801D2"/>
    <w:rsid w:val="00480809"/>
    <w:rsid w:val="0048093B"/>
    <w:rsid w:val="00480AA2"/>
    <w:rsid w:val="00480F31"/>
    <w:rsid w:val="00481053"/>
    <w:rsid w:val="004810E8"/>
    <w:rsid w:val="00481604"/>
    <w:rsid w:val="00482609"/>
    <w:rsid w:val="004826BA"/>
    <w:rsid w:val="00482EA3"/>
    <w:rsid w:val="004833BD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0F22"/>
    <w:rsid w:val="004A1EF2"/>
    <w:rsid w:val="004A2820"/>
    <w:rsid w:val="004A2FCF"/>
    <w:rsid w:val="004A4013"/>
    <w:rsid w:val="004A484A"/>
    <w:rsid w:val="004A498C"/>
    <w:rsid w:val="004A4AA1"/>
    <w:rsid w:val="004A4D70"/>
    <w:rsid w:val="004A548B"/>
    <w:rsid w:val="004A569C"/>
    <w:rsid w:val="004A56FF"/>
    <w:rsid w:val="004A5A2F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0FE2"/>
    <w:rsid w:val="004B11C8"/>
    <w:rsid w:val="004B1292"/>
    <w:rsid w:val="004B12EA"/>
    <w:rsid w:val="004B1864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4A3"/>
    <w:rsid w:val="004C1FD9"/>
    <w:rsid w:val="004C2188"/>
    <w:rsid w:val="004C241F"/>
    <w:rsid w:val="004C2A38"/>
    <w:rsid w:val="004C2A82"/>
    <w:rsid w:val="004C2CCC"/>
    <w:rsid w:val="004C39BC"/>
    <w:rsid w:val="004C3E42"/>
    <w:rsid w:val="004C4BC3"/>
    <w:rsid w:val="004C6326"/>
    <w:rsid w:val="004C69E4"/>
    <w:rsid w:val="004C7726"/>
    <w:rsid w:val="004D0075"/>
    <w:rsid w:val="004D07A7"/>
    <w:rsid w:val="004D0F4C"/>
    <w:rsid w:val="004D0F6D"/>
    <w:rsid w:val="004D1076"/>
    <w:rsid w:val="004D19D7"/>
    <w:rsid w:val="004D20D1"/>
    <w:rsid w:val="004D2BDA"/>
    <w:rsid w:val="004D356E"/>
    <w:rsid w:val="004D39C3"/>
    <w:rsid w:val="004D3D2B"/>
    <w:rsid w:val="004D4236"/>
    <w:rsid w:val="004D47CA"/>
    <w:rsid w:val="004D4A85"/>
    <w:rsid w:val="004D5B11"/>
    <w:rsid w:val="004D67A1"/>
    <w:rsid w:val="004D67FD"/>
    <w:rsid w:val="004D6EA5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3C2"/>
    <w:rsid w:val="004E45FE"/>
    <w:rsid w:val="004E4DB3"/>
    <w:rsid w:val="004E50F5"/>
    <w:rsid w:val="004E5412"/>
    <w:rsid w:val="004E5F41"/>
    <w:rsid w:val="004E638D"/>
    <w:rsid w:val="004E63E9"/>
    <w:rsid w:val="004E6A95"/>
    <w:rsid w:val="004E7276"/>
    <w:rsid w:val="004E7C61"/>
    <w:rsid w:val="004F0714"/>
    <w:rsid w:val="004F08CF"/>
    <w:rsid w:val="004F11C7"/>
    <w:rsid w:val="004F1E61"/>
    <w:rsid w:val="004F208A"/>
    <w:rsid w:val="004F216E"/>
    <w:rsid w:val="004F21D2"/>
    <w:rsid w:val="004F2D3F"/>
    <w:rsid w:val="004F2ED9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6DC6"/>
    <w:rsid w:val="004F714A"/>
    <w:rsid w:val="004F7165"/>
    <w:rsid w:val="004F728D"/>
    <w:rsid w:val="004F72B6"/>
    <w:rsid w:val="004F739C"/>
    <w:rsid w:val="00500873"/>
    <w:rsid w:val="00500AED"/>
    <w:rsid w:val="00500E16"/>
    <w:rsid w:val="005011A8"/>
    <w:rsid w:val="0050294E"/>
    <w:rsid w:val="00502997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5AE"/>
    <w:rsid w:val="00507702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40C"/>
    <w:rsid w:val="00517A7D"/>
    <w:rsid w:val="00517B75"/>
    <w:rsid w:val="005207E0"/>
    <w:rsid w:val="00520C43"/>
    <w:rsid w:val="00520F17"/>
    <w:rsid w:val="00521707"/>
    <w:rsid w:val="005221FB"/>
    <w:rsid w:val="00522614"/>
    <w:rsid w:val="0052261E"/>
    <w:rsid w:val="005227C3"/>
    <w:rsid w:val="00522DA0"/>
    <w:rsid w:val="00523A6C"/>
    <w:rsid w:val="005242C6"/>
    <w:rsid w:val="00524CDB"/>
    <w:rsid w:val="00525B2C"/>
    <w:rsid w:val="00526762"/>
    <w:rsid w:val="0052678F"/>
    <w:rsid w:val="005300A6"/>
    <w:rsid w:val="00530210"/>
    <w:rsid w:val="005304E0"/>
    <w:rsid w:val="00531084"/>
    <w:rsid w:val="0053121E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35D75"/>
    <w:rsid w:val="00540002"/>
    <w:rsid w:val="00540168"/>
    <w:rsid w:val="0054056C"/>
    <w:rsid w:val="00540A17"/>
    <w:rsid w:val="00540C87"/>
    <w:rsid w:val="0054156E"/>
    <w:rsid w:val="00541903"/>
    <w:rsid w:val="00541DE5"/>
    <w:rsid w:val="00542BD3"/>
    <w:rsid w:val="00543314"/>
    <w:rsid w:val="00543BCA"/>
    <w:rsid w:val="0054521C"/>
    <w:rsid w:val="005454FD"/>
    <w:rsid w:val="0054563A"/>
    <w:rsid w:val="00545694"/>
    <w:rsid w:val="005462A2"/>
    <w:rsid w:val="00546C11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1DDD"/>
    <w:rsid w:val="00562505"/>
    <w:rsid w:val="00562989"/>
    <w:rsid w:val="0056358A"/>
    <w:rsid w:val="0056359A"/>
    <w:rsid w:val="00563616"/>
    <w:rsid w:val="0056370E"/>
    <w:rsid w:val="005637B8"/>
    <w:rsid w:val="0056441F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8D3"/>
    <w:rsid w:val="005729F6"/>
    <w:rsid w:val="00572BC5"/>
    <w:rsid w:val="00573745"/>
    <w:rsid w:val="0057473B"/>
    <w:rsid w:val="00574A79"/>
    <w:rsid w:val="00574DE4"/>
    <w:rsid w:val="005751F1"/>
    <w:rsid w:val="0057541C"/>
    <w:rsid w:val="005759CC"/>
    <w:rsid w:val="005759FF"/>
    <w:rsid w:val="005764B7"/>
    <w:rsid w:val="00576A24"/>
    <w:rsid w:val="00577143"/>
    <w:rsid w:val="0057759E"/>
    <w:rsid w:val="0058002C"/>
    <w:rsid w:val="005803BD"/>
    <w:rsid w:val="00580746"/>
    <w:rsid w:val="00581107"/>
    <w:rsid w:val="00581DD9"/>
    <w:rsid w:val="00581ECB"/>
    <w:rsid w:val="00582359"/>
    <w:rsid w:val="005832AB"/>
    <w:rsid w:val="0058404C"/>
    <w:rsid w:val="0058425A"/>
    <w:rsid w:val="0058440A"/>
    <w:rsid w:val="00584DDA"/>
    <w:rsid w:val="00584E88"/>
    <w:rsid w:val="0058527A"/>
    <w:rsid w:val="005857BF"/>
    <w:rsid w:val="00585991"/>
    <w:rsid w:val="005865B8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565"/>
    <w:rsid w:val="0059275F"/>
    <w:rsid w:val="005927C8"/>
    <w:rsid w:val="00592BEB"/>
    <w:rsid w:val="005934E4"/>
    <w:rsid w:val="00593581"/>
    <w:rsid w:val="00593929"/>
    <w:rsid w:val="00593C7A"/>
    <w:rsid w:val="00594024"/>
    <w:rsid w:val="00594475"/>
    <w:rsid w:val="00595133"/>
    <w:rsid w:val="0059574C"/>
    <w:rsid w:val="00595E2C"/>
    <w:rsid w:val="00595F6B"/>
    <w:rsid w:val="0059647C"/>
    <w:rsid w:val="00597292"/>
    <w:rsid w:val="005A0001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7B1"/>
    <w:rsid w:val="005A4BD0"/>
    <w:rsid w:val="005A4E89"/>
    <w:rsid w:val="005A50A3"/>
    <w:rsid w:val="005A5940"/>
    <w:rsid w:val="005A5A18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34FF"/>
    <w:rsid w:val="005B3974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4C2C"/>
    <w:rsid w:val="005C5614"/>
    <w:rsid w:val="005C5F93"/>
    <w:rsid w:val="005C5FBE"/>
    <w:rsid w:val="005C61D9"/>
    <w:rsid w:val="005C6E2C"/>
    <w:rsid w:val="005C709B"/>
    <w:rsid w:val="005C73A1"/>
    <w:rsid w:val="005D008C"/>
    <w:rsid w:val="005D0127"/>
    <w:rsid w:val="005D0431"/>
    <w:rsid w:val="005D0859"/>
    <w:rsid w:val="005D0D48"/>
    <w:rsid w:val="005D1B51"/>
    <w:rsid w:val="005D20C6"/>
    <w:rsid w:val="005D23F2"/>
    <w:rsid w:val="005D32D4"/>
    <w:rsid w:val="005D3895"/>
    <w:rsid w:val="005D3BB8"/>
    <w:rsid w:val="005D3F54"/>
    <w:rsid w:val="005D40E7"/>
    <w:rsid w:val="005D4371"/>
    <w:rsid w:val="005D4542"/>
    <w:rsid w:val="005D4900"/>
    <w:rsid w:val="005D521A"/>
    <w:rsid w:val="005D5683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3A6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A9B"/>
    <w:rsid w:val="005F6EE6"/>
    <w:rsid w:val="005F6F25"/>
    <w:rsid w:val="005F7BB6"/>
    <w:rsid w:val="00600B89"/>
    <w:rsid w:val="0060110A"/>
    <w:rsid w:val="00601719"/>
    <w:rsid w:val="006020D7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1AAA"/>
    <w:rsid w:val="006128B8"/>
    <w:rsid w:val="00612B9F"/>
    <w:rsid w:val="006131F9"/>
    <w:rsid w:val="006133EC"/>
    <w:rsid w:val="006135ED"/>
    <w:rsid w:val="00613A45"/>
    <w:rsid w:val="00613C99"/>
    <w:rsid w:val="0061411D"/>
    <w:rsid w:val="0061451E"/>
    <w:rsid w:val="00614D04"/>
    <w:rsid w:val="00615412"/>
    <w:rsid w:val="00615CA4"/>
    <w:rsid w:val="00615EB1"/>
    <w:rsid w:val="00615EFE"/>
    <w:rsid w:val="00616326"/>
    <w:rsid w:val="006167CD"/>
    <w:rsid w:val="00616B7F"/>
    <w:rsid w:val="00616EEA"/>
    <w:rsid w:val="006171D2"/>
    <w:rsid w:val="0061741B"/>
    <w:rsid w:val="00617A43"/>
    <w:rsid w:val="00617CC9"/>
    <w:rsid w:val="00617DF2"/>
    <w:rsid w:val="00617F69"/>
    <w:rsid w:val="00620397"/>
    <w:rsid w:val="006205CC"/>
    <w:rsid w:val="0062071A"/>
    <w:rsid w:val="00620E9A"/>
    <w:rsid w:val="0062117E"/>
    <w:rsid w:val="00621244"/>
    <w:rsid w:val="00621819"/>
    <w:rsid w:val="00621E63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666B"/>
    <w:rsid w:val="00627A73"/>
    <w:rsid w:val="00627DA9"/>
    <w:rsid w:val="00627EEB"/>
    <w:rsid w:val="0063032D"/>
    <w:rsid w:val="006304CC"/>
    <w:rsid w:val="00630B87"/>
    <w:rsid w:val="00630F73"/>
    <w:rsid w:val="00631C6F"/>
    <w:rsid w:val="006325A0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1C62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0C7C"/>
    <w:rsid w:val="00651298"/>
    <w:rsid w:val="00652307"/>
    <w:rsid w:val="006533B2"/>
    <w:rsid w:val="00653B37"/>
    <w:rsid w:val="00653E28"/>
    <w:rsid w:val="006540C3"/>
    <w:rsid w:val="006546CE"/>
    <w:rsid w:val="00654B7A"/>
    <w:rsid w:val="006551FA"/>
    <w:rsid w:val="006552BE"/>
    <w:rsid w:val="00655824"/>
    <w:rsid w:val="00655D54"/>
    <w:rsid w:val="00655FF7"/>
    <w:rsid w:val="0065697C"/>
    <w:rsid w:val="00656B23"/>
    <w:rsid w:val="00656C25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76F26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5E40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5743"/>
    <w:rsid w:val="00696592"/>
    <w:rsid w:val="00696BC2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CA0"/>
    <w:rsid w:val="006A411E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760"/>
    <w:rsid w:val="006B6E4C"/>
    <w:rsid w:val="006B7D8B"/>
    <w:rsid w:val="006C00E2"/>
    <w:rsid w:val="006C02B6"/>
    <w:rsid w:val="006C02B7"/>
    <w:rsid w:val="006C090C"/>
    <w:rsid w:val="006C0C78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2FEC"/>
    <w:rsid w:val="006D32C1"/>
    <w:rsid w:val="006D3F8F"/>
    <w:rsid w:val="006D45A8"/>
    <w:rsid w:val="006D47B0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46F"/>
    <w:rsid w:val="006E0991"/>
    <w:rsid w:val="006E0FE8"/>
    <w:rsid w:val="006E10A3"/>
    <w:rsid w:val="006E149E"/>
    <w:rsid w:val="006E1B1C"/>
    <w:rsid w:val="006E20EB"/>
    <w:rsid w:val="006E277C"/>
    <w:rsid w:val="006E27C4"/>
    <w:rsid w:val="006E2F7C"/>
    <w:rsid w:val="006E2FBD"/>
    <w:rsid w:val="006E3771"/>
    <w:rsid w:val="006E38AD"/>
    <w:rsid w:val="006E3A3D"/>
    <w:rsid w:val="006E4DD5"/>
    <w:rsid w:val="006E4E29"/>
    <w:rsid w:val="006E5845"/>
    <w:rsid w:val="006E5DB5"/>
    <w:rsid w:val="006E6379"/>
    <w:rsid w:val="006E6B52"/>
    <w:rsid w:val="006E6D4A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515"/>
    <w:rsid w:val="007018D4"/>
    <w:rsid w:val="00701F22"/>
    <w:rsid w:val="00703745"/>
    <w:rsid w:val="00703C93"/>
    <w:rsid w:val="00703D34"/>
    <w:rsid w:val="007044AB"/>
    <w:rsid w:val="007056A9"/>
    <w:rsid w:val="00705F23"/>
    <w:rsid w:val="007065E0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44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A20"/>
    <w:rsid w:val="00732C20"/>
    <w:rsid w:val="007338A1"/>
    <w:rsid w:val="00733975"/>
    <w:rsid w:val="00733A71"/>
    <w:rsid w:val="00733BAD"/>
    <w:rsid w:val="00733F97"/>
    <w:rsid w:val="00734AEA"/>
    <w:rsid w:val="00734B97"/>
    <w:rsid w:val="0073515D"/>
    <w:rsid w:val="0073524E"/>
    <w:rsid w:val="00735A65"/>
    <w:rsid w:val="007361DF"/>
    <w:rsid w:val="007364A2"/>
    <w:rsid w:val="00736522"/>
    <w:rsid w:val="00736BAB"/>
    <w:rsid w:val="00736ED0"/>
    <w:rsid w:val="0073782A"/>
    <w:rsid w:val="00737B1D"/>
    <w:rsid w:val="00737C4C"/>
    <w:rsid w:val="00737D72"/>
    <w:rsid w:val="0074043B"/>
    <w:rsid w:val="007408AF"/>
    <w:rsid w:val="00741315"/>
    <w:rsid w:val="00741B18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6BB"/>
    <w:rsid w:val="00750BBF"/>
    <w:rsid w:val="00750DFA"/>
    <w:rsid w:val="0075110A"/>
    <w:rsid w:val="007512CF"/>
    <w:rsid w:val="007512EE"/>
    <w:rsid w:val="007513D9"/>
    <w:rsid w:val="0075194D"/>
    <w:rsid w:val="00751BC8"/>
    <w:rsid w:val="00752ACF"/>
    <w:rsid w:val="00752CB1"/>
    <w:rsid w:val="0075325A"/>
    <w:rsid w:val="00753D5A"/>
    <w:rsid w:val="00753D6A"/>
    <w:rsid w:val="00753E7D"/>
    <w:rsid w:val="00753F04"/>
    <w:rsid w:val="0075468C"/>
    <w:rsid w:val="00754BD8"/>
    <w:rsid w:val="007552C0"/>
    <w:rsid w:val="007554D6"/>
    <w:rsid w:val="00755678"/>
    <w:rsid w:val="007556E9"/>
    <w:rsid w:val="007566CB"/>
    <w:rsid w:val="00756C67"/>
    <w:rsid w:val="00756C73"/>
    <w:rsid w:val="00757370"/>
    <w:rsid w:val="00757394"/>
    <w:rsid w:val="00757814"/>
    <w:rsid w:val="00757C2F"/>
    <w:rsid w:val="007600A5"/>
    <w:rsid w:val="00760390"/>
    <w:rsid w:val="00761D97"/>
    <w:rsid w:val="007622B5"/>
    <w:rsid w:val="00762A13"/>
    <w:rsid w:val="0076324C"/>
    <w:rsid w:val="00763A09"/>
    <w:rsid w:val="007642B6"/>
    <w:rsid w:val="00764414"/>
    <w:rsid w:val="00765098"/>
    <w:rsid w:val="00765802"/>
    <w:rsid w:val="007663C2"/>
    <w:rsid w:val="0076649C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6DF0"/>
    <w:rsid w:val="00777CDE"/>
    <w:rsid w:val="0078028D"/>
    <w:rsid w:val="007803CF"/>
    <w:rsid w:val="007804C2"/>
    <w:rsid w:val="0078088A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6D7B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E44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0B81"/>
    <w:rsid w:val="007B1792"/>
    <w:rsid w:val="007B1962"/>
    <w:rsid w:val="007B1A32"/>
    <w:rsid w:val="007B2477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C77"/>
    <w:rsid w:val="007C0522"/>
    <w:rsid w:val="007C107A"/>
    <w:rsid w:val="007C168B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13CB"/>
    <w:rsid w:val="007D1C4D"/>
    <w:rsid w:val="007D2143"/>
    <w:rsid w:val="007D260B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2BB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89F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C81"/>
    <w:rsid w:val="008001A5"/>
    <w:rsid w:val="00801304"/>
    <w:rsid w:val="0080174C"/>
    <w:rsid w:val="0080188B"/>
    <w:rsid w:val="00801B89"/>
    <w:rsid w:val="00801C31"/>
    <w:rsid w:val="00802271"/>
    <w:rsid w:val="00802989"/>
    <w:rsid w:val="00802DEC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215"/>
    <w:rsid w:val="00815355"/>
    <w:rsid w:val="00815727"/>
    <w:rsid w:val="00816247"/>
    <w:rsid w:val="00816332"/>
    <w:rsid w:val="00816F87"/>
    <w:rsid w:val="00817144"/>
    <w:rsid w:val="008178B0"/>
    <w:rsid w:val="00817ABC"/>
    <w:rsid w:val="00817D02"/>
    <w:rsid w:val="00817DA8"/>
    <w:rsid w:val="00820000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27DE1"/>
    <w:rsid w:val="008306E1"/>
    <w:rsid w:val="00830FAB"/>
    <w:rsid w:val="008311FF"/>
    <w:rsid w:val="00831A21"/>
    <w:rsid w:val="00832090"/>
    <w:rsid w:val="00832760"/>
    <w:rsid w:val="00832811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CA"/>
    <w:rsid w:val="008370F0"/>
    <w:rsid w:val="0083785A"/>
    <w:rsid w:val="00837AAB"/>
    <w:rsid w:val="00837BDA"/>
    <w:rsid w:val="0084036A"/>
    <w:rsid w:val="008410FB"/>
    <w:rsid w:val="008412F2"/>
    <w:rsid w:val="008431D9"/>
    <w:rsid w:val="0084394C"/>
    <w:rsid w:val="00844B86"/>
    <w:rsid w:val="00845ACC"/>
    <w:rsid w:val="00846443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66B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538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885"/>
    <w:rsid w:val="00866DFB"/>
    <w:rsid w:val="00867104"/>
    <w:rsid w:val="0086724D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6A7C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86D47"/>
    <w:rsid w:val="008870E4"/>
    <w:rsid w:val="008907F7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1DC2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5B0"/>
    <w:rsid w:val="008C2763"/>
    <w:rsid w:val="008C2BB6"/>
    <w:rsid w:val="008C2FD3"/>
    <w:rsid w:val="008C37F8"/>
    <w:rsid w:val="008C39DC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595F"/>
    <w:rsid w:val="008D5A80"/>
    <w:rsid w:val="008D6C3F"/>
    <w:rsid w:val="008D6C99"/>
    <w:rsid w:val="008D7192"/>
    <w:rsid w:val="008D7379"/>
    <w:rsid w:val="008D76A6"/>
    <w:rsid w:val="008D76BD"/>
    <w:rsid w:val="008D7817"/>
    <w:rsid w:val="008D7AEA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4632"/>
    <w:rsid w:val="008E4657"/>
    <w:rsid w:val="008E4768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06EB"/>
    <w:rsid w:val="008F1290"/>
    <w:rsid w:val="008F2278"/>
    <w:rsid w:val="008F2EBE"/>
    <w:rsid w:val="008F411D"/>
    <w:rsid w:val="008F4309"/>
    <w:rsid w:val="008F4BB5"/>
    <w:rsid w:val="008F565D"/>
    <w:rsid w:val="008F57AB"/>
    <w:rsid w:val="008F591A"/>
    <w:rsid w:val="008F6241"/>
    <w:rsid w:val="008F6331"/>
    <w:rsid w:val="008F6709"/>
    <w:rsid w:val="008F6C9D"/>
    <w:rsid w:val="008F76DF"/>
    <w:rsid w:val="008F786F"/>
    <w:rsid w:val="008F790B"/>
    <w:rsid w:val="008F7B67"/>
    <w:rsid w:val="00900E36"/>
    <w:rsid w:val="00901E3D"/>
    <w:rsid w:val="009022D3"/>
    <w:rsid w:val="00902DA1"/>
    <w:rsid w:val="00902DF7"/>
    <w:rsid w:val="0090326A"/>
    <w:rsid w:val="0090335C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6F6A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1C9"/>
    <w:rsid w:val="00916379"/>
    <w:rsid w:val="009165F6"/>
    <w:rsid w:val="009166FB"/>
    <w:rsid w:val="0091670E"/>
    <w:rsid w:val="00916EF8"/>
    <w:rsid w:val="009175F9"/>
    <w:rsid w:val="009177B9"/>
    <w:rsid w:val="00917B12"/>
    <w:rsid w:val="00917D34"/>
    <w:rsid w:val="00920325"/>
    <w:rsid w:val="009211CD"/>
    <w:rsid w:val="00921ACC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8FF"/>
    <w:rsid w:val="0092616C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1743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2BF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4FAD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7A3"/>
    <w:rsid w:val="00960B1E"/>
    <w:rsid w:val="00960D27"/>
    <w:rsid w:val="00961094"/>
    <w:rsid w:val="009619B4"/>
    <w:rsid w:val="00961D4E"/>
    <w:rsid w:val="00961D74"/>
    <w:rsid w:val="009625F0"/>
    <w:rsid w:val="00962AA9"/>
    <w:rsid w:val="0096364C"/>
    <w:rsid w:val="00963D10"/>
    <w:rsid w:val="00964191"/>
    <w:rsid w:val="00964AEA"/>
    <w:rsid w:val="0096550F"/>
    <w:rsid w:val="009657DC"/>
    <w:rsid w:val="00966A84"/>
    <w:rsid w:val="009673D0"/>
    <w:rsid w:val="009675BC"/>
    <w:rsid w:val="0096792D"/>
    <w:rsid w:val="00967BFD"/>
    <w:rsid w:val="009706A5"/>
    <w:rsid w:val="00970DE9"/>
    <w:rsid w:val="009710E6"/>
    <w:rsid w:val="00971D26"/>
    <w:rsid w:val="00971D3C"/>
    <w:rsid w:val="00971D95"/>
    <w:rsid w:val="00971DCF"/>
    <w:rsid w:val="00972007"/>
    <w:rsid w:val="00972D31"/>
    <w:rsid w:val="00972F44"/>
    <w:rsid w:val="00972FE6"/>
    <w:rsid w:val="0097388B"/>
    <w:rsid w:val="00974527"/>
    <w:rsid w:val="009746BE"/>
    <w:rsid w:val="00974BE2"/>
    <w:rsid w:val="00974EB3"/>
    <w:rsid w:val="009751DB"/>
    <w:rsid w:val="0097521D"/>
    <w:rsid w:val="00975FB3"/>
    <w:rsid w:val="0097606B"/>
    <w:rsid w:val="00976F36"/>
    <w:rsid w:val="00976FCE"/>
    <w:rsid w:val="00977364"/>
    <w:rsid w:val="00977556"/>
    <w:rsid w:val="0097765B"/>
    <w:rsid w:val="00977A07"/>
    <w:rsid w:val="00977BD4"/>
    <w:rsid w:val="009801C6"/>
    <w:rsid w:val="009807E7"/>
    <w:rsid w:val="00980E51"/>
    <w:rsid w:val="00980E57"/>
    <w:rsid w:val="00982396"/>
    <w:rsid w:val="009845B7"/>
    <w:rsid w:val="00984EDE"/>
    <w:rsid w:val="00985353"/>
    <w:rsid w:val="00985EFF"/>
    <w:rsid w:val="00986376"/>
    <w:rsid w:val="00986428"/>
    <w:rsid w:val="0098649E"/>
    <w:rsid w:val="009869E7"/>
    <w:rsid w:val="00986E7A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826"/>
    <w:rsid w:val="00995CB3"/>
    <w:rsid w:val="009960C1"/>
    <w:rsid w:val="009967C5"/>
    <w:rsid w:val="00996928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61"/>
    <w:rsid w:val="009A3482"/>
    <w:rsid w:val="009A3CDA"/>
    <w:rsid w:val="009A4283"/>
    <w:rsid w:val="009A4F42"/>
    <w:rsid w:val="009A5536"/>
    <w:rsid w:val="009A5AEA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B7A6C"/>
    <w:rsid w:val="009B7D82"/>
    <w:rsid w:val="009C0623"/>
    <w:rsid w:val="009C0DD0"/>
    <w:rsid w:val="009C14B8"/>
    <w:rsid w:val="009C15E5"/>
    <w:rsid w:val="009C1C0D"/>
    <w:rsid w:val="009C22C9"/>
    <w:rsid w:val="009C28F7"/>
    <w:rsid w:val="009C32F4"/>
    <w:rsid w:val="009C3315"/>
    <w:rsid w:val="009C4906"/>
    <w:rsid w:val="009C49F9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3CD"/>
    <w:rsid w:val="009C75CF"/>
    <w:rsid w:val="009C761B"/>
    <w:rsid w:val="009D0788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158D"/>
    <w:rsid w:val="009E287C"/>
    <w:rsid w:val="009E34F9"/>
    <w:rsid w:val="009E355A"/>
    <w:rsid w:val="009E3864"/>
    <w:rsid w:val="009E4FFC"/>
    <w:rsid w:val="009E5142"/>
    <w:rsid w:val="009E73E9"/>
    <w:rsid w:val="009E7685"/>
    <w:rsid w:val="009E7F19"/>
    <w:rsid w:val="009F02EB"/>
    <w:rsid w:val="009F0539"/>
    <w:rsid w:val="009F07C1"/>
    <w:rsid w:val="009F20BB"/>
    <w:rsid w:val="009F220F"/>
    <w:rsid w:val="009F2334"/>
    <w:rsid w:val="009F2460"/>
    <w:rsid w:val="009F309E"/>
    <w:rsid w:val="009F38B7"/>
    <w:rsid w:val="009F3B18"/>
    <w:rsid w:val="009F3D9B"/>
    <w:rsid w:val="009F5537"/>
    <w:rsid w:val="009F5732"/>
    <w:rsid w:val="009F5A7C"/>
    <w:rsid w:val="009F5B97"/>
    <w:rsid w:val="009F629E"/>
    <w:rsid w:val="009F62BE"/>
    <w:rsid w:val="009F67C9"/>
    <w:rsid w:val="009F6BB5"/>
    <w:rsid w:val="009F70F3"/>
    <w:rsid w:val="009F7399"/>
    <w:rsid w:val="009F7F0D"/>
    <w:rsid w:val="00A0053C"/>
    <w:rsid w:val="00A01572"/>
    <w:rsid w:val="00A015B4"/>
    <w:rsid w:val="00A017FA"/>
    <w:rsid w:val="00A01B70"/>
    <w:rsid w:val="00A04027"/>
    <w:rsid w:val="00A0406C"/>
    <w:rsid w:val="00A04225"/>
    <w:rsid w:val="00A05B73"/>
    <w:rsid w:val="00A05D9E"/>
    <w:rsid w:val="00A06374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202A7"/>
    <w:rsid w:val="00A2055F"/>
    <w:rsid w:val="00A20961"/>
    <w:rsid w:val="00A217C9"/>
    <w:rsid w:val="00A21ACD"/>
    <w:rsid w:val="00A21D3A"/>
    <w:rsid w:val="00A21FF5"/>
    <w:rsid w:val="00A220F4"/>
    <w:rsid w:val="00A221E5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36"/>
    <w:rsid w:val="00A32AB7"/>
    <w:rsid w:val="00A32D99"/>
    <w:rsid w:val="00A32DAA"/>
    <w:rsid w:val="00A33957"/>
    <w:rsid w:val="00A33A3F"/>
    <w:rsid w:val="00A34A38"/>
    <w:rsid w:val="00A34EA3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534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3FDE"/>
    <w:rsid w:val="00A554A0"/>
    <w:rsid w:val="00A55593"/>
    <w:rsid w:val="00A555C9"/>
    <w:rsid w:val="00A55669"/>
    <w:rsid w:val="00A557E7"/>
    <w:rsid w:val="00A55870"/>
    <w:rsid w:val="00A56E4F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EDB"/>
    <w:rsid w:val="00A63FEE"/>
    <w:rsid w:val="00A64072"/>
    <w:rsid w:val="00A64822"/>
    <w:rsid w:val="00A657FB"/>
    <w:rsid w:val="00A65A67"/>
    <w:rsid w:val="00A66498"/>
    <w:rsid w:val="00A6697A"/>
    <w:rsid w:val="00A66DE7"/>
    <w:rsid w:val="00A70C00"/>
    <w:rsid w:val="00A7145E"/>
    <w:rsid w:val="00A71CDE"/>
    <w:rsid w:val="00A721D0"/>
    <w:rsid w:val="00A72A8B"/>
    <w:rsid w:val="00A72DEB"/>
    <w:rsid w:val="00A73026"/>
    <w:rsid w:val="00A73028"/>
    <w:rsid w:val="00A73200"/>
    <w:rsid w:val="00A738BD"/>
    <w:rsid w:val="00A745E7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5BFA"/>
    <w:rsid w:val="00A85F79"/>
    <w:rsid w:val="00A861F9"/>
    <w:rsid w:val="00A86F37"/>
    <w:rsid w:val="00A90131"/>
    <w:rsid w:val="00A9047A"/>
    <w:rsid w:val="00A906D6"/>
    <w:rsid w:val="00A90C5F"/>
    <w:rsid w:val="00A90E71"/>
    <w:rsid w:val="00A90F98"/>
    <w:rsid w:val="00A915BF"/>
    <w:rsid w:val="00A919AD"/>
    <w:rsid w:val="00A92347"/>
    <w:rsid w:val="00A923FA"/>
    <w:rsid w:val="00A928D7"/>
    <w:rsid w:val="00A939D6"/>
    <w:rsid w:val="00A941DD"/>
    <w:rsid w:val="00A944B8"/>
    <w:rsid w:val="00A95B93"/>
    <w:rsid w:val="00A9621B"/>
    <w:rsid w:val="00A962F9"/>
    <w:rsid w:val="00A9699A"/>
    <w:rsid w:val="00A96E22"/>
    <w:rsid w:val="00A973FB"/>
    <w:rsid w:val="00A97EF3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5ACB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D5C"/>
    <w:rsid w:val="00AB1E0D"/>
    <w:rsid w:val="00AB307B"/>
    <w:rsid w:val="00AB332E"/>
    <w:rsid w:val="00AB373E"/>
    <w:rsid w:val="00AB3E06"/>
    <w:rsid w:val="00AB400B"/>
    <w:rsid w:val="00AB4228"/>
    <w:rsid w:val="00AB48FC"/>
    <w:rsid w:val="00AB4F89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5B2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614F"/>
    <w:rsid w:val="00AC6B95"/>
    <w:rsid w:val="00AC7101"/>
    <w:rsid w:val="00AC7404"/>
    <w:rsid w:val="00AC7C17"/>
    <w:rsid w:val="00AD0C1D"/>
    <w:rsid w:val="00AD0CC9"/>
    <w:rsid w:val="00AD0DC6"/>
    <w:rsid w:val="00AD1A62"/>
    <w:rsid w:val="00AD1DE0"/>
    <w:rsid w:val="00AD1EDD"/>
    <w:rsid w:val="00AD23E5"/>
    <w:rsid w:val="00AD2C3F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28B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877"/>
    <w:rsid w:val="00AE3B11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159"/>
    <w:rsid w:val="00AF1B9F"/>
    <w:rsid w:val="00AF1FC2"/>
    <w:rsid w:val="00AF242E"/>
    <w:rsid w:val="00AF2AB9"/>
    <w:rsid w:val="00AF2C15"/>
    <w:rsid w:val="00AF3F6F"/>
    <w:rsid w:val="00AF5632"/>
    <w:rsid w:val="00AF5EC3"/>
    <w:rsid w:val="00AF6D76"/>
    <w:rsid w:val="00AF6F20"/>
    <w:rsid w:val="00AF7398"/>
    <w:rsid w:val="00AF7841"/>
    <w:rsid w:val="00AF789E"/>
    <w:rsid w:val="00AF7DDC"/>
    <w:rsid w:val="00B002F3"/>
    <w:rsid w:val="00B004C6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18"/>
    <w:rsid w:val="00B02BCD"/>
    <w:rsid w:val="00B0324C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8CC"/>
    <w:rsid w:val="00B07B5E"/>
    <w:rsid w:val="00B107D7"/>
    <w:rsid w:val="00B10DEC"/>
    <w:rsid w:val="00B1189C"/>
    <w:rsid w:val="00B1201B"/>
    <w:rsid w:val="00B12291"/>
    <w:rsid w:val="00B124B8"/>
    <w:rsid w:val="00B12726"/>
    <w:rsid w:val="00B13130"/>
    <w:rsid w:val="00B1370B"/>
    <w:rsid w:val="00B137C7"/>
    <w:rsid w:val="00B13BF4"/>
    <w:rsid w:val="00B13C80"/>
    <w:rsid w:val="00B147EC"/>
    <w:rsid w:val="00B147EE"/>
    <w:rsid w:val="00B1486C"/>
    <w:rsid w:val="00B14DF2"/>
    <w:rsid w:val="00B15108"/>
    <w:rsid w:val="00B15367"/>
    <w:rsid w:val="00B16CBB"/>
    <w:rsid w:val="00B17470"/>
    <w:rsid w:val="00B17630"/>
    <w:rsid w:val="00B17CDE"/>
    <w:rsid w:val="00B2022E"/>
    <w:rsid w:val="00B21A96"/>
    <w:rsid w:val="00B2234D"/>
    <w:rsid w:val="00B223E8"/>
    <w:rsid w:val="00B22B92"/>
    <w:rsid w:val="00B22FFF"/>
    <w:rsid w:val="00B2337E"/>
    <w:rsid w:val="00B23A3E"/>
    <w:rsid w:val="00B24328"/>
    <w:rsid w:val="00B24A9E"/>
    <w:rsid w:val="00B25199"/>
    <w:rsid w:val="00B25402"/>
    <w:rsid w:val="00B257F3"/>
    <w:rsid w:val="00B25AA0"/>
    <w:rsid w:val="00B25ABD"/>
    <w:rsid w:val="00B264B5"/>
    <w:rsid w:val="00B26EA6"/>
    <w:rsid w:val="00B27CA9"/>
    <w:rsid w:val="00B27F97"/>
    <w:rsid w:val="00B3047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860"/>
    <w:rsid w:val="00B41917"/>
    <w:rsid w:val="00B41A4E"/>
    <w:rsid w:val="00B41C85"/>
    <w:rsid w:val="00B4205C"/>
    <w:rsid w:val="00B426B1"/>
    <w:rsid w:val="00B4393D"/>
    <w:rsid w:val="00B44610"/>
    <w:rsid w:val="00B47BD9"/>
    <w:rsid w:val="00B50014"/>
    <w:rsid w:val="00B503B0"/>
    <w:rsid w:val="00B50E14"/>
    <w:rsid w:val="00B50E8B"/>
    <w:rsid w:val="00B5238B"/>
    <w:rsid w:val="00B52547"/>
    <w:rsid w:val="00B52BD8"/>
    <w:rsid w:val="00B52D22"/>
    <w:rsid w:val="00B52D5B"/>
    <w:rsid w:val="00B530EF"/>
    <w:rsid w:val="00B5390B"/>
    <w:rsid w:val="00B53F1F"/>
    <w:rsid w:val="00B54256"/>
    <w:rsid w:val="00B54DD9"/>
    <w:rsid w:val="00B5577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7E9"/>
    <w:rsid w:val="00B60B01"/>
    <w:rsid w:val="00B610BA"/>
    <w:rsid w:val="00B611E9"/>
    <w:rsid w:val="00B61DE2"/>
    <w:rsid w:val="00B62069"/>
    <w:rsid w:val="00B6282A"/>
    <w:rsid w:val="00B6297C"/>
    <w:rsid w:val="00B62A2A"/>
    <w:rsid w:val="00B634EA"/>
    <w:rsid w:val="00B63C08"/>
    <w:rsid w:val="00B65571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213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6DB"/>
    <w:rsid w:val="00B85A77"/>
    <w:rsid w:val="00B86EE1"/>
    <w:rsid w:val="00B87059"/>
    <w:rsid w:val="00B8732C"/>
    <w:rsid w:val="00B90460"/>
    <w:rsid w:val="00B90DB7"/>
    <w:rsid w:val="00B90F6F"/>
    <w:rsid w:val="00B9142A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2DD8"/>
    <w:rsid w:val="00BA39E1"/>
    <w:rsid w:val="00BA3AF7"/>
    <w:rsid w:val="00BA3CC6"/>
    <w:rsid w:val="00BA3D89"/>
    <w:rsid w:val="00BA3DAB"/>
    <w:rsid w:val="00BA4F8E"/>
    <w:rsid w:val="00BA51CE"/>
    <w:rsid w:val="00BA5824"/>
    <w:rsid w:val="00BA5C30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A1"/>
    <w:rsid w:val="00BB3DBA"/>
    <w:rsid w:val="00BB3E3E"/>
    <w:rsid w:val="00BB3E64"/>
    <w:rsid w:val="00BB4F3C"/>
    <w:rsid w:val="00BB5B4C"/>
    <w:rsid w:val="00BB676E"/>
    <w:rsid w:val="00BB678B"/>
    <w:rsid w:val="00BB7738"/>
    <w:rsid w:val="00BB7DAD"/>
    <w:rsid w:val="00BC0457"/>
    <w:rsid w:val="00BC0597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165"/>
    <w:rsid w:val="00BC762E"/>
    <w:rsid w:val="00BC78DB"/>
    <w:rsid w:val="00BC7AF5"/>
    <w:rsid w:val="00BC7B10"/>
    <w:rsid w:val="00BC7C5A"/>
    <w:rsid w:val="00BD0820"/>
    <w:rsid w:val="00BD0A42"/>
    <w:rsid w:val="00BD0C09"/>
    <w:rsid w:val="00BD1354"/>
    <w:rsid w:val="00BD19E5"/>
    <w:rsid w:val="00BD1F8A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5B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5A7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5FD2"/>
    <w:rsid w:val="00BF6340"/>
    <w:rsid w:val="00BF6391"/>
    <w:rsid w:val="00BF6515"/>
    <w:rsid w:val="00BF67D7"/>
    <w:rsid w:val="00BF6D36"/>
    <w:rsid w:val="00BF761A"/>
    <w:rsid w:val="00BF782D"/>
    <w:rsid w:val="00BF7D5A"/>
    <w:rsid w:val="00C00438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49B"/>
    <w:rsid w:val="00C24C30"/>
    <w:rsid w:val="00C24C31"/>
    <w:rsid w:val="00C24CFE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2F5A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4BA4"/>
    <w:rsid w:val="00C44CC2"/>
    <w:rsid w:val="00C44FD7"/>
    <w:rsid w:val="00C45475"/>
    <w:rsid w:val="00C46115"/>
    <w:rsid w:val="00C465A8"/>
    <w:rsid w:val="00C46E8F"/>
    <w:rsid w:val="00C4721F"/>
    <w:rsid w:val="00C477AE"/>
    <w:rsid w:val="00C510EB"/>
    <w:rsid w:val="00C514A3"/>
    <w:rsid w:val="00C518E6"/>
    <w:rsid w:val="00C51B94"/>
    <w:rsid w:val="00C521CD"/>
    <w:rsid w:val="00C5243F"/>
    <w:rsid w:val="00C532A4"/>
    <w:rsid w:val="00C53E41"/>
    <w:rsid w:val="00C53EF6"/>
    <w:rsid w:val="00C53F02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4B0"/>
    <w:rsid w:val="00C60CEE"/>
    <w:rsid w:val="00C60DB6"/>
    <w:rsid w:val="00C612E6"/>
    <w:rsid w:val="00C62571"/>
    <w:rsid w:val="00C6289E"/>
    <w:rsid w:val="00C63737"/>
    <w:rsid w:val="00C6379E"/>
    <w:rsid w:val="00C6393C"/>
    <w:rsid w:val="00C6428F"/>
    <w:rsid w:val="00C64676"/>
    <w:rsid w:val="00C65D96"/>
    <w:rsid w:val="00C65F91"/>
    <w:rsid w:val="00C66E3D"/>
    <w:rsid w:val="00C67461"/>
    <w:rsid w:val="00C67FBC"/>
    <w:rsid w:val="00C7024D"/>
    <w:rsid w:val="00C707D1"/>
    <w:rsid w:val="00C71CC0"/>
    <w:rsid w:val="00C73AA3"/>
    <w:rsid w:val="00C740B9"/>
    <w:rsid w:val="00C743C3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2F3"/>
    <w:rsid w:val="00C76942"/>
    <w:rsid w:val="00C770C4"/>
    <w:rsid w:val="00C771C9"/>
    <w:rsid w:val="00C773EE"/>
    <w:rsid w:val="00C802EB"/>
    <w:rsid w:val="00C805B9"/>
    <w:rsid w:val="00C80B9B"/>
    <w:rsid w:val="00C80EEA"/>
    <w:rsid w:val="00C81B34"/>
    <w:rsid w:val="00C82272"/>
    <w:rsid w:val="00C83211"/>
    <w:rsid w:val="00C8322B"/>
    <w:rsid w:val="00C8370F"/>
    <w:rsid w:val="00C856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53DD"/>
    <w:rsid w:val="00C955EB"/>
    <w:rsid w:val="00C959D0"/>
    <w:rsid w:val="00C95DCF"/>
    <w:rsid w:val="00C965E0"/>
    <w:rsid w:val="00C96636"/>
    <w:rsid w:val="00C96A8B"/>
    <w:rsid w:val="00C96F2E"/>
    <w:rsid w:val="00C97232"/>
    <w:rsid w:val="00C97957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7C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013"/>
    <w:rsid w:val="00CB45DD"/>
    <w:rsid w:val="00CB47BC"/>
    <w:rsid w:val="00CB4992"/>
    <w:rsid w:val="00CB4C0A"/>
    <w:rsid w:val="00CB4FCA"/>
    <w:rsid w:val="00CB5259"/>
    <w:rsid w:val="00CB52FB"/>
    <w:rsid w:val="00CB5ADA"/>
    <w:rsid w:val="00CB6093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DE6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210"/>
    <w:rsid w:val="00CD4C75"/>
    <w:rsid w:val="00CD4D83"/>
    <w:rsid w:val="00CD50AF"/>
    <w:rsid w:val="00CD5217"/>
    <w:rsid w:val="00CD5353"/>
    <w:rsid w:val="00CD5F1C"/>
    <w:rsid w:val="00CD5F58"/>
    <w:rsid w:val="00CD61F0"/>
    <w:rsid w:val="00CD68D0"/>
    <w:rsid w:val="00CD6B09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323"/>
    <w:rsid w:val="00CF06EA"/>
    <w:rsid w:val="00CF0BE4"/>
    <w:rsid w:val="00CF1363"/>
    <w:rsid w:val="00CF1ACB"/>
    <w:rsid w:val="00CF2328"/>
    <w:rsid w:val="00CF2A61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BB4"/>
    <w:rsid w:val="00D01D2D"/>
    <w:rsid w:val="00D02A46"/>
    <w:rsid w:val="00D03404"/>
    <w:rsid w:val="00D03586"/>
    <w:rsid w:val="00D03A55"/>
    <w:rsid w:val="00D03B64"/>
    <w:rsid w:val="00D03CE9"/>
    <w:rsid w:val="00D03F9E"/>
    <w:rsid w:val="00D04B87"/>
    <w:rsid w:val="00D04BF3"/>
    <w:rsid w:val="00D04EC4"/>
    <w:rsid w:val="00D05267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4522"/>
    <w:rsid w:val="00D1540E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ED2"/>
    <w:rsid w:val="00D21FA6"/>
    <w:rsid w:val="00D21FBC"/>
    <w:rsid w:val="00D21FE2"/>
    <w:rsid w:val="00D2200C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3494"/>
    <w:rsid w:val="00D33EB2"/>
    <w:rsid w:val="00D34C6F"/>
    <w:rsid w:val="00D351E5"/>
    <w:rsid w:val="00D35501"/>
    <w:rsid w:val="00D358C0"/>
    <w:rsid w:val="00D3653B"/>
    <w:rsid w:val="00D36ACE"/>
    <w:rsid w:val="00D37068"/>
    <w:rsid w:val="00D37268"/>
    <w:rsid w:val="00D376E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5C06"/>
    <w:rsid w:val="00D56123"/>
    <w:rsid w:val="00D561C0"/>
    <w:rsid w:val="00D56D47"/>
    <w:rsid w:val="00D577BB"/>
    <w:rsid w:val="00D57CB2"/>
    <w:rsid w:val="00D60EEE"/>
    <w:rsid w:val="00D60F31"/>
    <w:rsid w:val="00D60FF0"/>
    <w:rsid w:val="00D61C69"/>
    <w:rsid w:val="00D62125"/>
    <w:rsid w:val="00D6258E"/>
    <w:rsid w:val="00D6273E"/>
    <w:rsid w:val="00D62CB6"/>
    <w:rsid w:val="00D63015"/>
    <w:rsid w:val="00D63C00"/>
    <w:rsid w:val="00D63DA8"/>
    <w:rsid w:val="00D63EA1"/>
    <w:rsid w:val="00D64061"/>
    <w:rsid w:val="00D641C4"/>
    <w:rsid w:val="00D65648"/>
    <w:rsid w:val="00D65977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3E6F"/>
    <w:rsid w:val="00D74087"/>
    <w:rsid w:val="00D75ECC"/>
    <w:rsid w:val="00D76079"/>
    <w:rsid w:val="00D7616C"/>
    <w:rsid w:val="00D7680A"/>
    <w:rsid w:val="00D779D1"/>
    <w:rsid w:val="00D77D60"/>
    <w:rsid w:val="00D803A1"/>
    <w:rsid w:val="00D80626"/>
    <w:rsid w:val="00D80A50"/>
    <w:rsid w:val="00D81552"/>
    <w:rsid w:val="00D8285E"/>
    <w:rsid w:val="00D829BF"/>
    <w:rsid w:val="00D83123"/>
    <w:rsid w:val="00D84F2E"/>
    <w:rsid w:val="00D859D9"/>
    <w:rsid w:val="00D85D0A"/>
    <w:rsid w:val="00D86DC1"/>
    <w:rsid w:val="00D87B47"/>
    <w:rsid w:val="00D87B7C"/>
    <w:rsid w:val="00D87EF5"/>
    <w:rsid w:val="00D90965"/>
    <w:rsid w:val="00D90E79"/>
    <w:rsid w:val="00D91697"/>
    <w:rsid w:val="00D917A5"/>
    <w:rsid w:val="00D9262C"/>
    <w:rsid w:val="00D926C8"/>
    <w:rsid w:val="00D938E3"/>
    <w:rsid w:val="00D944D1"/>
    <w:rsid w:val="00D94719"/>
    <w:rsid w:val="00D96712"/>
    <w:rsid w:val="00D96F78"/>
    <w:rsid w:val="00D97562"/>
    <w:rsid w:val="00D9770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2F30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986"/>
    <w:rsid w:val="00DA7C5B"/>
    <w:rsid w:val="00DB047B"/>
    <w:rsid w:val="00DB06D5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294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0C0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3F7E"/>
    <w:rsid w:val="00DD4D57"/>
    <w:rsid w:val="00DD5D27"/>
    <w:rsid w:val="00DD68D2"/>
    <w:rsid w:val="00DD6A6E"/>
    <w:rsid w:val="00DD6BDC"/>
    <w:rsid w:val="00DD6D12"/>
    <w:rsid w:val="00DD72E7"/>
    <w:rsid w:val="00DD7450"/>
    <w:rsid w:val="00DE0F8C"/>
    <w:rsid w:val="00DE1477"/>
    <w:rsid w:val="00DE1EDF"/>
    <w:rsid w:val="00DE1FE6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58C6"/>
    <w:rsid w:val="00DE6970"/>
    <w:rsid w:val="00DE6C6B"/>
    <w:rsid w:val="00DE785E"/>
    <w:rsid w:val="00DE7C58"/>
    <w:rsid w:val="00DE7CFB"/>
    <w:rsid w:val="00DE7FB3"/>
    <w:rsid w:val="00DF06E0"/>
    <w:rsid w:val="00DF1907"/>
    <w:rsid w:val="00DF2281"/>
    <w:rsid w:val="00DF2FFC"/>
    <w:rsid w:val="00DF3538"/>
    <w:rsid w:val="00DF3B2B"/>
    <w:rsid w:val="00DF3FF3"/>
    <w:rsid w:val="00DF46E5"/>
    <w:rsid w:val="00DF47E8"/>
    <w:rsid w:val="00DF4CE3"/>
    <w:rsid w:val="00DF4EEE"/>
    <w:rsid w:val="00DF4F3A"/>
    <w:rsid w:val="00DF5082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607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43D0"/>
    <w:rsid w:val="00E15B42"/>
    <w:rsid w:val="00E160B5"/>
    <w:rsid w:val="00E160F6"/>
    <w:rsid w:val="00E162B3"/>
    <w:rsid w:val="00E16E92"/>
    <w:rsid w:val="00E1718F"/>
    <w:rsid w:val="00E1737B"/>
    <w:rsid w:val="00E17778"/>
    <w:rsid w:val="00E179CC"/>
    <w:rsid w:val="00E2005E"/>
    <w:rsid w:val="00E20797"/>
    <w:rsid w:val="00E20884"/>
    <w:rsid w:val="00E20A9C"/>
    <w:rsid w:val="00E21283"/>
    <w:rsid w:val="00E2141B"/>
    <w:rsid w:val="00E21881"/>
    <w:rsid w:val="00E218DD"/>
    <w:rsid w:val="00E2285F"/>
    <w:rsid w:val="00E22C02"/>
    <w:rsid w:val="00E233C8"/>
    <w:rsid w:val="00E235ED"/>
    <w:rsid w:val="00E2377F"/>
    <w:rsid w:val="00E23FCB"/>
    <w:rsid w:val="00E24AFF"/>
    <w:rsid w:val="00E24F35"/>
    <w:rsid w:val="00E25079"/>
    <w:rsid w:val="00E2594F"/>
    <w:rsid w:val="00E25BE3"/>
    <w:rsid w:val="00E25DC8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24E"/>
    <w:rsid w:val="00E348B1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176E"/>
    <w:rsid w:val="00E41894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019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F99"/>
    <w:rsid w:val="00E544E1"/>
    <w:rsid w:val="00E54CAA"/>
    <w:rsid w:val="00E5509A"/>
    <w:rsid w:val="00E55218"/>
    <w:rsid w:val="00E556A1"/>
    <w:rsid w:val="00E55CD7"/>
    <w:rsid w:val="00E5600C"/>
    <w:rsid w:val="00E56ADA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AEB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2FB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3B90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837"/>
    <w:rsid w:val="00E87C10"/>
    <w:rsid w:val="00E87FA1"/>
    <w:rsid w:val="00E90259"/>
    <w:rsid w:val="00E904B3"/>
    <w:rsid w:val="00E90965"/>
    <w:rsid w:val="00E90F69"/>
    <w:rsid w:val="00E91118"/>
    <w:rsid w:val="00E92A35"/>
    <w:rsid w:val="00E932CA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1C46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362F"/>
    <w:rsid w:val="00EB5819"/>
    <w:rsid w:val="00EB5AC1"/>
    <w:rsid w:val="00EB6215"/>
    <w:rsid w:val="00EB6327"/>
    <w:rsid w:val="00EB6EB4"/>
    <w:rsid w:val="00EB701F"/>
    <w:rsid w:val="00EB75DE"/>
    <w:rsid w:val="00EB7921"/>
    <w:rsid w:val="00EB7E03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6DED"/>
    <w:rsid w:val="00EC75EF"/>
    <w:rsid w:val="00EC77E4"/>
    <w:rsid w:val="00EC79BF"/>
    <w:rsid w:val="00ED00D2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6F"/>
    <w:rsid w:val="00ED55D7"/>
    <w:rsid w:val="00ED5E2E"/>
    <w:rsid w:val="00ED5F29"/>
    <w:rsid w:val="00ED5FF7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81A"/>
    <w:rsid w:val="00EE5C90"/>
    <w:rsid w:val="00EE6DFB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24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64D"/>
    <w:rsid w:val="00EF574F"/>
    <w:rsid w:val="00EF5C09"/>
    <w:rsid w:val="00EF6A49"/>
    <w:rsid w:val="00EF6B4E"/>
    <w:rsid w:val="00EF6C6F"/>
    <w:rsid w:val="00EF6EF9"/>
    <w:rsid w:val="00EF7101"/>
    <w:rsid w:val="00EF75BA"/>
    <w:rsid w:val="00EF7FB4"/>
    <w:rsid w:val="00F012B1"/>
    <w:rsid w:val="00F012B2"/>
    <w:rsid w:val="00F0206B"/>
    <w:rsid w:val="00F02134"/>
    <w:rsid w:val="00F022DF"/>
    <w:rsid w:val="00F02353"/>
    <w:rsid w:val="00F02813"/>
    <w:rsid w:val="00F02998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9CE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5FFC"/>
    <w:rsid w:val="00F261A5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2075"/>
    <w:rsid w:val="00F32376"/>
    <w:rsid w:val="00F325D1"/>
    <w:rsid w:val="00F32725"/>
    <w:rsid w:val="00F32A32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6E3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9B7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6ECD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67F7E"/>
    <w:rsid w:val="00F70169"/>
    <w:rsid w:val="00F70181"/>
    <w:rsid w:val="00F70624"/>
    <w:rsid w:val="00F707A1"/>
    <w:rsid w:val="00F70A69"/>
    <w:rsid w:val="00F711AF"/>
    <w:rsid w:val="00F71628"/>
    <w:rsid w:val="00F71CD9"/>
    <w:rsid w:val="00F72554"/>
    <w:rsid w:val="00F729A3"/>
    <w:rsid w:val="00F72EE4"/>
    <w:rsid w:val="00F7306F"/>
    <w:rsid w:val="00F73D82"/>
    <w:rsid w:val="00F74A31"/>
    <w:rsid w:val="00F74AF3"/>
    <w:rsid w:val="00F7588B"/>
    <w:rsid w:val="00F758C2"/>
    <w:rsid w:val="00F75E9E"/>
    <w:rsid w:val="00F76013"/>
    <w:rsid w:val="00F760F7"/>
    <w:rsid w:val="00F7667A"/>
    <w:rsid w:val="00F766FE"/>
    <w:rsid w:val="00F76A30"/>
    <w:rsid w:val="00F76CDA"/>
    <w:rsid w:val="00F771C5"/>
    <w:rsid w:val="00F77374"/>
    <w:rsid w:val="00F776B8"/>
    <w:rsid w:val="00F801E9"/>
    <w:rsid w:val="00F80A0B"/>
    <w:rsid w:val="00F80E7B"/>
    <w:rsid w:val="00F81720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5F3E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24BD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BA2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353F"/>
    <w:rsid w:val="00FA451F"/>
    <w:rsid w:val="00FA4B2A"/>
    <w:rsid w:val="00FA4C23"/>
    <w:rsid w:val="00FA4EDE"/>
    <w:rsid w:val="00FA4FEA"/>
    <w:rsid w:val="00FA5453"/>
    <w:rsid w:val="00FA55F6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478"/>
    <w:rsid w:val="00FB2693"/>
    <w:rsid w:val="00FB2BAD"/>
    <w:rsid w:val="00FB2CEA"/>
    <w:rsid w:val="00FB3E9C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931"/>
    <w:rsid w:val="00FB7D9C"/>
    <w:rsid w:val="00FC033A"/>
    <w:rsid w:val="00FC06C5"/>
    <w:rsid w:val="00FC0B5A"/>
    <w:rsid w:val="00FC0FC8"/>
    <w:rsid w:val="00FC1195"/>
    <w:rsid w:val="00FC17CB"/>
    <w:rsid w:val="00FC1ECD"/>
    <w:rsid w:val="00FC24E2"/>
    <w:rsid w:val="00FC2753"/>
    <w:rsid w:val="00FC302E"/>
    <w:rsid w:val="00FC30FC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AF8"/>
    <w:rsid w:val="00FC7DF2"/>
    <w:rsid w:val="00FD025A"/>
    <w:rsid w:val="00FD1268"/>
    <w:rsid w:val="00FD12FC"/>
    <w:rsid w:val="00FD23FC"/>
    <w:rsid w:val="00FD28FA"/>
    <w:rsid w:val="00FD2D13"/>
    <w:rsid w:val="00FD2F07"/>
    <w:rsid w:val="00FD3867"/>
    <w:rsid w:val="00FD3CBA"/>
    <w:rsid w:val="00FD3CBF"/>
    <w:rsid w:val="00FD416E"/>
    <w:rsid w:val="00FD4618"/>
    <w:rsid w:val="00FD466D"/>
    <w:rsid w:val="00FD469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036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55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24A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D4371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15OPMSMT0001-78-51322</_dlc_DocId>
    <_dlc_DocIdUrl xmlns="0104a4cd-1400-468e-be1b-c7aad71d7d5a">
      <Url>https://op.msmt.cz/_layouts/15/DocIdRedir.aspx?ID=15OPMSMT0001-78-51322</Url>
      <Description>15OPMSMT0001-78-51322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D73C7A99-DC24-45E8-8AA4-B5904DAA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5012</Words>
  <Characters>29573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Zieglerová Alena</cp:lastModifiedBy>
  <cp:revision>2</cp:revision>
  <cp:lastPrinted>2018-09-07T10:50:00Z</cp:lastPrinted>
  <dcterms:created xsi:type="dcterms:W3CDTF">2025-07-04T09:10:00Z</dcterms:created>
  <dcterms:modified xsi:type="dcterms:W3CDTF">2025-07-04T09:10:00Z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d653fc2a-062c-4d4e-b03a-2a1e065aa4b3</vt:lpwstr>
  </property>
  <property fmtid="{D5CDD505-2E9C-101B-9397-08002B2CF9AE}" pid="4" name="Komentář">
    <vt:lpwstr>Zveřejněno na webu 28/11/2017</vt:lpwstr>
  </property>
</Properties>
</file>