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B3B4" w14:textId="77777777" w:rsidR="008327A1" w:rsidRPr="008327A1" w:rsidRDefault="008327A1" w:rsidP="008327A1">
      <w:pPr>
        <w:spacing w:before="240" w:after="240"/>
        <w:jc w:val="center"/>
        <w:outlineLvl w:val="0"/>
        <w:rPr>
          <w:rFonts w:eastAsia="Times New Roman" w:cs="Times New Roman"/>
          <w:b/>
          <w:caps/>
          <w:color w:val="173271"/>
          <w:sz w:val="28"/>
        </w:rPr>
      </w:pPr>
      <w:bookmarkStart w:id="0" w:name="_Toc442200546"/>
      <w:r w:rsidRPr="008327A1">
        <w:rPr>
          <w:rFonts w:eastAsia="Times New Roman" w:cs="Times New Roman"/>
          <w:b/>
          <w:caps/>
          <w:color w:val="173271"/>
          <w:sz w:val="28"/>
        </w:rPr>
        <w:t xml:space="preserve">výzva 2_24_037 </w:t>
      </w:r>
      <w:proofErr w:type="gramStart"/>
      <w:r w:rsidRPr="008327A1">
        <w:rPr>
          <w:rFonts w:eastAsia="Times New Roman" w:cs="Times New Roman"/>
          <w:b/>
          <w:caps/>
          <w:color w:val="173271"/>
          <w:sz w:val="28"/>
        </w:rPr>
        <w:t>Návraty - závěrečná</w:t>
      </w:r>
      <w:proofErr w:type="gramEnd"/>
      <w:r w:rsidRPr="008327A1">
        <w:rPr>
          <w:rFonts w:eastAsia="Times New Roman" w:cs="Times New Roman"/>
          <w:b/>
          <w:caps/>
          <w:color w:val="173271"/>
          <w:sz w:val="28"/>
        </w:rPr>
        <w:t xml:space="preserve"> zpráva o činnosti návratového grantu</w:t>
      </w:r>
    </w:p>
    <w:p w14:paraId="1EEDBF1C" w14:textId="77777777" w:rsidR="008327A1" w:rsidRPr="008327A1" w:rsidRDefault="008327A1" w:rsidP="008327A1">
      <w:pPr>
        <w:rPr>
          <w:rFonts w:eastAsia="Calibri" w:cs="Times New Roman"/>
        </w:rPr>
      </w:pPr>
    </w:p>
    <w:tbl>
      <w:tblPr>
        <w:tblStyle w:val="Mkatabulky3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327A1" w:rsidRPr="008327A1" w14:paraId="3C082D5A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49EC" w14:textId="77777777" w:rsidR="008327A1" w:rsidRPr="008327A1" w:rsidRDefault="008327A1" w:rsidP="008327A1">
            <w:pPr>
              <w:rPr>
                <w:b/>
                <w:bCs/>
              </w:rPr>
            </w:pPr>
            <w:r w:rsidRPr="008327A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7C7" w14:textId="77777777" w:rsidR="008327A1" w:rsidRPr="008327A1" w:rsidRDefault="008327A1" w:rsidP="008327A1"/>
        </w:tc>
      </w:tr>
      <w:tr w:rsidR="008327A1" w:rsidRPr="008327A1" w14:paraId="4BAC9018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AA4B" w14:textId="77777777" w:rsidR="008327A1" w:rsidRPr="008327A1" w:rsidRDefault="008327A1" w:rsidP="008327A1">
            <w:pPr>
              <w:rPr>
                <w:b/>
                <w:bCs/>
              </w:rPr>
            </w:pPr>
            <w:r w:rsidRPr="008327A1">
              <w:rPr>
                <w:b/>
                <w:bCs/>
              </w:rPr>
              <w:t>Název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57F" w14:textId="77777777" w:rsidR="008327A1" w:rsidRPr="008327A1" w:rsidRDefault="008327A1" w:rsidP="008327A1"/>
        </w:tc>
      </w:tr>
      <w:tr w:rsidR="008327A1" w:rsidRPr="008327A1" w14:paraId="7CCEC762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315" w14:textId="77777777" w:rsidR="008327A1" w:rsidRPr="008327A1" w:rsidRDefault="008327A1" w:rsidP="008327A1">
            <w:pPr>
              <w:rPr>
                <w:b/>
                <w:bCs/>
              </w:rPr>
            </w:pPr>
            <w:r w:rsidRPr="008327A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D8B8" w14:textId="77777777" w:rsidR="008327A1" w:rsidRPr="008327A1" w:rsidRDefault="008327A1" w:rsidP="008327A1"/>
        </w:tc>
      </w:tr>
      <w:tr w:rsidR="008327A1" w:rsidRPr="008327A1" w14:paraId="0F91CB9C" w14:textId="7777777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F1D1" w14:textId="77777777" w:rsidR="008327A1" w:rsidRPr="008327A1" w:rsidRDefault="008327A1" w:rsidP="008327A1">
            <w:pPr>
              <w:rPr>
                <w:b/>
                <w:bCs/>
              </w:rPr>
            </w:pPr>
            <w:r w:rsidRPr="008327A1">
              <w:rPr>
                <w:b/>
                <w:bCs/>
              </w:rPr>
              <w:t xml:space="preserve">Pořadové číslo </w:t>
            </w:r>
            <w:proofErr w:type="spellStart"/>
            <w:r w:rsidRPr="008327A1"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21A" w14:textId="77777777" w:rsidR="008327A1" w:rsidRPr="008327A1" w:rsidRDefault="008327A1" w:rsidP="008327A1"/>
        </w:tc>
      </w:tr>
    </w:tbl>
    <w:p w14:paraId="673CE32E" w14:textId="77777777" w:rsidR="008327A1" w:rsidRPr="008327A1" w:rsidRDefault="008327A1" w:rsidP="008327A1">
      <w:pPr>
        <w:rPr>
          <w:rFonts w:eastAsia="Calibri" w:cs="Times New Roman"/>
        </w:rPr>
      </w:pPr>
    </w:p>
    <w:p w14:paraId="25E44ECD" w14:textId="77777777" w:rsidR="008327A1" w:rsidRPr="008327A1" w:rsidRDefault="008327A1" w:rsidP="008327A1">
      <w:pPr>
        <w:spacing w:before="60" w:after="0"/>
        <w:rPr>
          <w:rFonts w:eastAsia="Calibri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8327A1" w:rsidRPr="008327A1" w14:paraId="4B0B453D" w14:textId="77777777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850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>Název návratového grantu</w:t>
            </w:r>
          </w:p>
          <w:p w14:paraId="717016BB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i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03AF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8327A1" w:rsidRPr="008327A1" w14:paraId="7EE47226" w14:textId="77777777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07F6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>Jméno hlavního řešitele návratového grantu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0D3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8327A1" w:rsidRPr="008327A1" w14:paraId="0784AAD3" w14:textId="77777777">
        <w:trPr>
          <w:trHeight w:val="4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139E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>Úvazek hlavního řešitele návratového grantu v návratovém grantu</w:t>
            </w:r>
          </w:p>
          <w:p w14:paraId="0D8958F6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Cs/>
                <w:i/>
                <w:iCs/>
              </w:rPr>
            </w:pPr>
            <w:r w:rsidRPr="008327A1">
              <w:rPr>
                <w:rFonts w:eastAsia="Calibri" w:cs="Times New Roman"/>
                <w:bCs/>
                <w:i/>
                <w:iCs/>
              </w:rPr>
              <w:t>(FTE)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08F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8327A1" w:rsidRPr="008327A1" w14:paraId="7E7C3055" w14:textId="77777777">
        <w:trPr>
          <w:trHeight w:val="4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136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 xml:space="preserve">Doba trvání návratového grantu </w:t>
            </w:r>
          </w:p>
          <w:p w14:paraId="3C92ECB4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Cs/>
                <w:i/>
                <w:iCs/>
              </w:rPr>
            </w:pPr>
            <w:r w:rsidRPr="008327A1">
              <w:rPr>
                <w:rFonts w:eastAsia="Calibri" w:cs="Times New Roman"/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960C" w14:textId="77777777" w:rsidR="008327A1" w:rsidRPr="008327A1" w:rsidRDefault="008327A1" w:rsidP="008327A1">
            <w:pPr>
              <w:spacing w:line="256" w:lineRule="auto"/>
              <w:jc w:val="center"/>
              <w:rPr>
                <w:rFonts w:eastAsia="Times New Roman" w:cs="Times New Roman"/>
                <w:color w:val="2F5496" w:themeColor="accent1" w:themeShade="BF"/>
                <w:u w:val="single"/>
              </w:rPr>
            </w:pPr>
          </w:p>
        </w:tc>
      </w:tr>
      <w:tr w:rsidR="008327A1" w:rsidRPr="008327A1" w14:paraId="617C4513" w14:textId="77777777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3552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>Sledované období činnosti</w:t>
            </w:r>
          </w:p>
          <w:p w14:paraId="15A58227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D349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  <w:tr w:rsidR="008327A1" w:rsidRPr="008327A1" w14:paraId="21D0D541" w14:textId="77777777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486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  <w:r w:rsidRPr="008327A1">
              <w:rPr>
                <w:rFonts w:eastAsia="Calibri" w:cs="Times New Roman"/>
                <w:b/>
              </w:rPr>
              <w:t>Pořadové číslo zprávy</w:t>
            </w:r>
          </w:p>
          <w:p w14:paraId="0B5004BB" w14:textId="77777777" w:rsidR="008327A1" w:rsidRPr="008327A1" w:rsidRDefault="008327A1" w:rsidP="008327A1">
            <w:pPr>
              <w:spacing w:before="60" w:after="60" w:line="256" w:lineRule="auto"/>
              <w:jc w:val="left"/>
              <w:rPr>
                <w:rFonts w:eastAsia="Calibri" w:cs="Times New Roman"/>
                <w:b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AB7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>pořadové číslo zprávy/celkový počet zpráv</w:t>
            </w:r>
          </w:p>
          <w:p w14:paraId="74BD6B78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Cs/>
                <w:szCs w:val="28"/>
              </w:rPr>
            </w:pPr>
          </w:p>
        </w:tc>
      </w:tr>
    </w:tbl>
    <w:p w14:paraId="6391DF6D" w14:textId="77777777" w:rsidR="008327A1" w:rsidRPr="008327A1" w:rsidRDefault="008327A1" w:rsidP="008327A1">
      <w:pPr>
        <w:jc w:val="center"/>
        <w:rPr>
          <w:rFonts w:eastAsia="Times New Roman" w:cs="Times New Roman"/>
          <w:b/>
          <w:bCs/>
          <w:color w:val="003399"/>
          <w:sz w:val="28"/>
          <w:szCs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8327A1" w:rsidRPr="008327A1" w14:paraId="3C2D1238" w14:textId="77777777">
        <w:trPr>
          <w:trHeight w:val="30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701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/>
                <w:bCs/>
                <w:szCs w:val="16"/>
              </w:rPr>
            </w:pPr>
            <w:r w:rsidRPr="008327A1">
              <w:rPr>
                <w:rFonts w:eastAsia="Calibri" w:cs="Arial"/>
                <w:b/>
                <w:bCs/>
                <w:szCs w:val="16"/>
              </w:rPr>
              <w:t>Popis pracovní činnosti ve sledovaném období</w:t>
            </w:r>
          </w:p>
          <w:p w14:paraId="0A8C1C79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/>
                <w:i/>
                <w:szCs w:val="16"/>
              </w:rPr>
            </w:pPr>
          </w:p>
        </w:tc>
      </w:tr>
      <w:tr w:rsidR="008327A1" w:rsidRPr="008327A1" w14:paraId="7301200A" w14:textId="77777777">
        <w:trPr>
          <w:trHeight w:val="32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407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lastRenderedPageBreak/>
              <w:t>Hlavní řešitel návratového grantu uvede, v jakém rozsahu</w:t>
            </w:r>
            <w:r w:rsidRPr="008327A1">
              <w:rPr>
                <w:rFonts w:eastAsia="Times New Roman" w:cs="Times New Roman"/>
                <w:i/>
                <w:highlight w:val="lightGray"/>
                <w:vertAlign w:val="superscript"/>
              </w:rPr>
              <w:footnoteReference w:id="1"/>
            </w:r>
            <w:r w:rsidRPr="008327A1">
              <w:rPr>
                <w:rFonts w:eastAsia="Times New Roman" w:cs="Times New Roman"/>
                <w:i/>
                <w:highlight w:val="lightGray"/>
              </w:rPr>
              <w:t xml:space="preserve"> a na čem ve sledovaném období pracoval, zda byly naplněny a dosaženy jím stanovené dílčí cíle či výsledky výzkumu. Zároveň vyhodnotí dosažený pokrok. </w:t>
            </w:r>
          </w:p>
          <w:p w14:paraId="09A7478A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7170282F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</w:rPr>
            </w:pPr>
          </w:p>
          <w:p w14:paraId="76C295F9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="Arial"/>
                <w:bCs/>
                <w:i/>
                <w:szCs w:val="28"/>
              </w:rPr>
            </w:pPr>
          </w:p>
          <w:p w14:paraId="220057E3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="Arial"/>
                <w:bCs/>
                <w:i/>
                <w:szCs w:val="28"/>
              </w:rPr>
            </w:pPr>
          </w:p>
          <w:p w14:paraId="02385EA2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="Arial"/>
                <w:bCs/>
                <w:i/>
                <w:szCs w:val="28"/>
              </w:rPr>
            </w:pPr>
          </w:p>
          <w:p w14:paraId="4793250C" w14:textId="77777777" w:rsidR="008327A1" w:rsidRPr="008327A1" w:rsidRDefault="008327A1" w:rsidP="008327A1">
            <w:pPr>
              <w:autoSpaceDE w:val="0"/>
              <w:autoSpaceDN w:val="0"/>
              <w:adjustRightInd w:val="0"/>
              <w:spacing w:after="0" w:line="256" w:lineRule="auto"/>
              <w:rPr>
                <w:rFonts w:eastAsia="Calibri" w:cs="Arial"/>
                <w:bCs/>
                <w:i/>
                <w:szCs w:val="28"/>
              </w:rPr>
            </w:pPr>
          </w:p>
        </w:tc>
      </w:tr>
      <w:tr w:rsidR="008327A1" w:rsidRPr="008327A1" w14:paraId="35FC5BD4" w14:textId="77777777">
        <w:trPr>
          <w:trHeight w:val="30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18F2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/>
                <w:bCs/>
                <w:szCs w:val="16"/>
              </w:rPr>
            </w:pPr>
            <w:r w:rsidRPr="008327A1">
              <w:rPr>
                <w:rFonts w:eastAsia="Calibri" w:cs="Arial"/>
                <w:b/>
                <w:bCs/>
                <w:szCs w:val="16"/>
              </w:rPr>
              <w:lastRenderedPageBreak/>
              <w:t xml:space="preserve"> Přerušení pracovní činnosti ve sledovaném období</w:t>
            </w:r>
          </w:p>
          <w:p w14:paraId="15C4B264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Calibri" w:cs="Arial"/>
                <w:b/>
                <w:szCs w:val="16"/>
                <w:lang w:val="en-GB"/>
              </w:rPr>
            </w:pPr>
            <w:r w:rsidRPr="008327A1">
              <w:rPr>
                <w:rFonts w:eastAsia="Times New Roman" w:cs="Times New Roman"/>
                <w:i/>
              </w:rPr>
              <w:t>(pouze je-li relevantní)</w:t>
            </w:r>
          </w:p>
        </w:tc>
      </w:tr>
      <w:tr w:rsidR="008327A1" w:rsidRPr="008327A1" w14:paraId="09EF4B86" w14:textId="77777777">
        <w:trPr>
          <w:trHeight w:val="269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204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 xml:space="preserve">Hlavní řešitel návratového grantu uvede jakékoliv přerušení pracovní činnosti s jasně specifikovaným zdůvodněním (nemoc, </w:t>
            </w:r>
            <w:proofErr w:type="gramStart"/>
            <w:r w:rsidRPr="008327A1">
              <w:rPr>
                <w:rFonts w:eastAsia="Times New Roman" w:cs="Times New Roman"/>
                <w:i/>
                <w:highlight w:val="lightGray"/>
              </w:rPr>
              <w:t>dovolená,</w:t>
            </w:r>
            <w:proofErr w:type="gramEnd"/>
            <w:r w:rsidRPr="008327A1">
              <w:rPr>
                <w:rFonts w:eastAsia="Times New Roman" w:cs="Times New Roman"/>
                <w:i/>
                <w:highlight w:val="lightGray"/>
              </w:rPr>
              <w:t xml:space="preserve"> apod.) včetně dat a počtu neodpracovaných hodin. Informace musí být v souladu s údaji uvedenými v souboru Kalkulačka Aktivita 3_realizace návratového grantu.</w:t>
            </w:r>
          </w:p>
          <w:p w14:paraId="2F6350AA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  <w:p w14:paraId="101A621A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  <w:p w14:paraId="5F3238D7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  <w:p w14:paraId="24BB6F31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  <w:p w14:paraId="45A57188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  <w:p w14:paraId="77015A3A" w14:textId="77777777" w:rsidR="008327A1" w:rsidRPr="008327A1" w:rsidRDefault="008327A1" w:rsidP="008327A1">
            <w:pPr>
              <w:keepNext/>
              <w:keepLines/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</w:p>
        </w:tc>
      </w:tr>
      <w:tr w:rsidR="008327A1" w:rsidRPr="008327A1" w14:paraId="6F285F78" w14:textId="77777777">
        <w:trPr>
          <w:trHeight w:val="104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F40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  <w:highlight w:val="lightGray"/>
              </w:rPr>
            </w:pPr>
            <w:r w:rsidRPr="008327A1">
              <w:rPr>
                <w:rFonts w:eastAsia="Times New Roman" w:cs="Times New Roman"/>
                <w:b/>
                <w:bCs/>
                <w:iCs/>
                <w:highlight w:val="lightGray"/>
              </w:rPr>
              <w:t>Změny v rámci návratového grantu ve sledovaném období</w:t>
            </w:r>
          </w:p>
          <w:p w14:paraId="4122CD3C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  <w:highlight w:val="lightGray"/>
              </w:rPr>
            </w:pPr>
            <w:r w:rsidRPr="008327A1">
              <w:rPr>
                <w:rFonts w:eastAsia="Times New Roman" w:cs="Times New Roman"/>
                <w:i/>
              </w:rPr>
              <w:t>(pouze je-li relevantní)</w:t>
            </w:r>
          </w:p>
        </w:tc>
      </w:tr>
      <w:tr w:rsidR="008327A1" w:rsidRPr="008327A1" w14:paraId="03171A36" w14:textId="77777777">
        <w:trPr>
          <w:trHeight w:val="269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7547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 w:rsidRPr="008327A1">
              <w:rPr>
                <w:rFonts w:eastAsia="Times New Roman" w:cs="Times New Roman"/>
                <w:i/>
                <w:highlight w:val="lightGray"/>
              </w:rPr>
              <w:t>popíše</w:t>
            </w:r>
            <w:proofErr w:type="gramEnd"/>
            <w:r w:rsidRPr="008327A1">
              <w:rPr>
                <w:rFonts w:eastAsia="Times New Roman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8327A1" w:rsidRPr="008327A1" w14:paraId="000E9048" w14:textId="77777777">
        <w:trPr>
          <w:trHeight w:val="6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F02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</w:rPr>
            </w:pPr>
            <w:r w:rsidRPr="008327A1">
              <w:rPr>
                <w:rFonts w:eastAsia="Times New Roman" w:cs="Times New Roman"/>
                <w:b/>
                <w:bCs/>
                <w:iCs/>
              </w:rPr>
              <w:t xml:space="preserve">Popis zapojení mentora   </w:t>
            </w:r>
          </w:p>
          <w:p w14:paraId="66F92BB4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</w:rPr>
              <w:t>(pouze je-li relevantní)</w:t>
            </w:r>
          </w:p>
        </w:tc>
      </w:tr>
      <w:tr w:rsidR="008327A1" w:rsidRPr="008327A1" w14:paraId="34DE3DB3" w14:textId="77777777">
        <w:trPr>
          <w:trHeight w:val="241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BF3F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>Hlavní řešitel návratového grantu popíše, jakým způsobem a v jakém rozsahu probíhala spolupráce s mentorem (např. proběhlé konzultace apod.). Informace musí být v souladu s údaji uvedenými v souboru Kalkulačka Aktivita 3_realizace návratového grantu.</w:t>
            </w:r>
          </w:p>
          <w:p w14:paraId="28D2AA5B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  <w:highlight w:val="lightGray"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8327A1" w:rsidRPr="008327A1" w14:paraId="6A7522D9" w14:textId="77777777">
        <w:trPr>
          <w:trHeight w:val="74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D14C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</w:rPr>
            </w:pPr>
            <w:r w:rsidRPr="008327A1">
              <w:rPr>
                <w:rFonts w:eastAsia="Times New Roman" w:cs="Times New Roman"/>
                <w:b/>
                <w:bCs/>
                <w:iCs/>
              </w:rPr>
              <w:t>Popis zapojení pomocného odborného týmu</w:t>
            </w:r>
          </w:p>
          <w:p w14:paraId="73F71F35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  <w:highlight w:val="lightGray"/>
              </w:rPr>
            </w:pPr>
            <w:r w:rsidRPr="008327A1">
              <w:rPr>
                <w:rFonts w:eastAsia="Times New Roman" w:cs="Times New Roman"/>
                <w:i/>
              </w:rPr>
              <w:t>(pouze je-li relevantní)</w:t>
            </w:r>
            <w:r w:rsidRPr="008327A1">
              <w:rPr>
                <w:rFonts w:eastAsia="Times New Roman" w:cs="Times New Roman"/>
                <w:b/>
                <w:bCs/>
                <w:iCs/>
              </w:rPr>
              <w:t xml:space="preserve"> </w:t>
            </w:r>
          </w:p>
        </w:tc>
      </w:tr>
      <w:tr w:rsidR="008327A1" w:rsidRPr="008327A1" w14:paraId="2CD40A3D" w14:textId="77777777">
        <w:trPr>
          <w:trHeight w:val="284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BC92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8327A1">
              <w:rPr>
                <w:rFonts w:eastAsia="Times New Roman" w:cs="Times New Roman"/>
                <w:i/>
                <w:highlight w:val="lightGray"/>
              </w:rPr>
              <w:t>řesitel</w:t>
            </w:r>
            <w:proofErr w:type="spellEnd"/>
            <w:r w:rsidRPr="008327A1">
              <w:rPr>
                <w:rFonts w:eastAsia="Times New Roman" w:cs="Times New Roman"/>
                <w:i/>
                <w:highlight w:val="lightGray"/>
              </w:rPr>
              <w:t xml:space="preserve"> návratového grantu popíše způsob a rozsah zapojení členů pomocného odborného týmu (pro každého zapojeného pracovníka zvlášť). Informace musí být v souladu s údaji uvedenými v souboru Kalkulačka Aktivita 3_realizace návratového grantu.</w:t>
            </w:r>
          </w:p>
          <w:p w14:paraId="253CE96F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>V případě, že zapojení pomocného odborného týmu nebo některé z pozic v týmu v daném sledovaném období neprobíhalo, uveďte „ve sledovaném období neprobíhalo“.</w:t>
            </w:r>
          </w:p>
        </w:tc>
      </w:tr>
      <w:tr w:rsidR="008327A1" w:rsidRPr="008327A1" w14:paraId="4CA0D360" w14:textId="77777777">
        <w:trPr>
          <w:trHeight w:val="7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180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</w:rPr>
            </w:pPr>
            <w:r w:rsidRPr="008327A1">
              <w:rPr>
                <w:rFonts w:eastAsia="Times New Roman" w:cs="Times New Roman"/>
                <w:b/>
                <w:bCs/>
                <w:iCs/>
              </w:rPr>
              <w:t>Popis vzdělávání hlavního řešitele návratového grantu</w:t>
            </w:r>
          </w:p>
          <w:p w14:paraId="650A064E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  <w:highlight w:val="lightGray"/>
              </w:rPr>
            </w:pPr>
            <w:r w:rsidRPr="008327A1">
              <w:rPr>
                <w:rFonts w:eastAsia="Times New Roman" w:cs="Times New Roman"/>
                <w:i/>
              </w:rPr>
              <w:t>(pouze je-li relevantní)</w:t>
            </w:r>
          </w:p>
        </w:tc>
      </w:tr>
      <w:tr w:rsidR="008327A1" w:rsidRPr="008327A1" w14:paraId="7B80B614" w14:textId="77777777">
        <w:trPr>
          <w:trHeight w:val="7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D913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8327A1">
              <w:rPr>
                <w:rFonts w:eastAsia="Times New Roman" w:cs="Times New Roman"/>
                <w:i/>
                <w:highlight w:val="lightGray"/>
              </w:rPr>
              <w:t>vzdlělávacíc</w:t>
            </w:r>
            <w:proofErr w:type="spellEnd"/>
            <w:r w:rsidRPr="008327A1">
              <w:rPr>
                <w:rFonts w:eastAsia="Times New Roman" w:cs="Times New Roman"/>
                <w:i/>
                <w:highlight w:val="lightGray"/>
              </w:rPr>
              <w:t xml:space="preserve"> aktivit, které ve sledovaném období absolvoval</w:t>
            </w:r>
            <w:r w:rsidRPr="008327A1">
              <w:rPr>
                <w:rFonts w:eastAsia="Times New Roman" w:cs="Times New Roman"/>
                <w:i/>
                <w:highlight w:val="lightGray"/>
                <w:vertAlign w:val="superscript"/>
              </w:rPr>
              <w:footnoteReference w:id="2"/>
            </w:r>
            <w:r w:rsidRPr="008327A1">
              <w:rPr>
                <w:rFonts w:eastAsia="Times New Roman" w:cs="Times New Roman"/>
                <w:i/>
                <w:highlight w:val="lightGray"/>
              </w:rPr>
              <w:t>. Informace musí být v souladu s údaji uvedenými v souboru Kalkulačka Aktivita 3_realizace návratového grantu.</w:t>
            </w:r>
          </w:p>
          <w:p w14:paraId="50698784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8327A1" w:rsidRPr="008327A1" w14:paraId="19FE61DB" w14:textId="77777777">
        <w:trPr>
          <w:trHeight w:val="7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2962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b/>
                <w:bCs/>
                <w:iCs/>
                <w:highlight w:val="lightGray"/>
              </w:rPr>
            </w:pPr>
            <w:r w:rsidRPr="008327A1">
              <w:rPr>
                <w:rFonts w:eastAsia="Times New Roman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8327A1" w:rsidRPr="008327A1" w14:paraId="2BE2CA64" w14:textId="77777777">
        <w:trPr>
          <w:trHeight w:val="706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C73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Cs/>
              </w:rPr>
            </w:pPr>
            <w:r w:rsidRPr="008327A1">
              <w:rPr>
                <w:rFonts w:eastAsia="Times New Roman" w:cs="Times New Roman"/>
                <w:iCs/>
              </w:rPr>
              <w:t>Bylo dosaženo stanoveného cíle a dílčích cílů projektu?</w:t>
            </w:r>
          </w:p>
          <w:p w14:paraId="533C32F7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/>
                <w:highlight w:val="lightGray"/>
              </w:rPr>
              <w:t xml:space="preserve">Hlavní řešitel NG popíše, zda a bylo dosaženo stanoveného cíle, případě uvede další relevantní informace, které měly na dosažení cíle/cílů vliv. </w:t>
            </w:r>
          </w:p>
          <w:p w14:paraId="477C09BE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Cs/>
              </w:rPr>
            </w:pPr>
            <w:r w:rsidRPr="008327A1">
              <w:rPr>
                <w:rFonts w:eastAsia="Times New Roman" w:cs="Times New Roman"/>
                <w:iCs/>
              </w:rPr>
              <w:t>Byly splněny definované výsledky a výstupy NG?</w:t>
            </w:r>
          </w:p>
          <w:p w14:paraId="7C8E99F5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Cs/>
              </w:rPr>
            </w:pPr>
          </w:p>
          <w:p w14:paraId="05B54757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</w:rPr>
            </w:pPr>
            <w:r w:rsidRPr="008327A1">
              <w:rPr>
                <w:rFonts w:eastAsia="Times New Roman" w:cs="Times New Roman"/>
                <w:iCs/>
              </w:rPr>
              <w:t xml:space="preserve">Byly v rámci návratového grantu realizovány pouze činnosti </w:t>
            </w:r>
            <w:proofErr w:type="spellStart"/>
            <w:r w:rsidRPr="008327A1">
              <w:rPr>
                <w:rFonts w:eastAsia="Times New Roman" w:cs="Times New Roman"/>
                <w:iCs/>
              </w:rPr>
              <w:t>nehospodářského</w:t>
            </w:r>
            <w:proofErr w:type="spellEnd"/>
            <w:r w:rsidRPr="008327A1">
              <w:rPr>
                <w:rFonts w:eastAsia="Times New Roman" w:cs="Times New Roman"/>
                <w:iCs/>
              </w:rPr>
              <w:t xml:space="preserve"> charakteru?</w:t>
            </w:r>
            <w:r w:rsidRPr="008327A1">
              <w:rPr>
                <w:rFonts w:eastAsia="Times New Roman" w:cs="Times New Roman"/>
                <w:i/>
              </w:rPr>
              <w:t xml:space="preserve"> </w:t>
            </w:r>
          </w:p>
          <w:p w14:paraId="167E877C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</w:rPr>
            </w:pPr>
          </w:p>
          <w:p w14:paraId="0F206057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</w:rPr>
            </w:pPr>
          </w:p>
          <w:p w14:paraId="681C973C" w14:textId="77777777" w:rsidR="008327A1" w:rsidRPr="008327A1" w:rsidRDefault="008327A1" w:rsidP="008327A1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 w:line="256" w:lineRule="auto"/>
              <w:jc w:val="left"/>
              <w:rPr>
                <w:rFonts w:eastAsia="Times New Roman" w:cs="Times New Roman"/>
                <w:i/>
                <w:highlight w:val="lightGray"/>
              </w:rPr>
            </w:pPr>
          </w:p>
        </w:tc>
      </w:tr>
      <w:bookmarkEnd w:id="0"/>
    </w:tbl>
    <w:p w14:paraId="367B1FE4" w14:textId="77777777" w:rsidR="008327A1" w:rsidRPr="008327A1" w:rsidRDefault="008327A1" w:rsidP="008327A1">
      <w:pPr>
        <w:rPr>
          <w:rFonts w:eastAsia="Calibri" w:cs="Times New Roman"/>
        </w:rPr>
      </w:pPr>
    </w:p>
    <w:p w14:paraId="2C834532" w14:textId="77777777" w:rsidR="008327A1" w:rsidRPr="008327A1" w:rsidRDefault="008327A1" w:rsidP="008327A1">
      <w:pPr>
        <w:rPr>
          <w:rFonts w:eastAsia="Calibri" w:cs="Times New Roman"/>
          <w:u w:val="single"/>
        </w:rPr>
      </w:pPr>
      <w:r w:rsidRPr="008327A1">
        <w:rPr>
          <w:rFonts w:eastAsia="Calibri" w:cs="Times New Roman"/>
          <w:u w:val="single"/>
        </w:rPr>
        <w:t>Přílohy:</w:t>
      </w:r>
    </w:p>
    <w:p w14:paraId="43026110" w14:textId="77777777" w:rsidR="008327A1" w:rsidRPr="008327A1" w:rsidRDefault="008327A1" w:rsidP="008327A1">
      <w:pPr>
        <w:rPr>
          <w:rFonts w:eastAsia="Calibri" w:cs="Times New Roman"/>
        </w:rPr>
      </w:pPr>
      <w:r w:rsidRPr="008327A1">
        <w:rPr>
          <w:rFonts w:eastAsia="Calibri" w:cs="Times New Roman"/>
        </w:rPr>
        <w:t>Plán správy dat (bude-li relevantní)</w:t>
      </w:r>
    </w:p>
    <w:p w14:paraId="4D526ABE" w14:textId="77777777" w:rsidR="008327A1" w:rsidRPr="008327A1" w:rsidRDefault="008327A1" w:rsidP="008327A1">
      <w:pPr>
        <w:rPr>
          <w:rFonts w:eastAsia="Calibri" w:cs="Times New Roman"/>
        </w:rPr>
      </w:pPr>
      <w:r w:rsidRPr="008327A1">
        <w:rPr>
          <w:rFonts w:eastAsia="Calibri" w:cs="Times New Roman"/>
        </w:rPr>
        <w:t>Zpráva o průběhu mobility</w:t>
      </w:r>
      <w:r w:rsidRPr="008327A1">
        <w:rPr>
          <w:rFonts w:eastAsia="Calibri" w:cs="Times New Roman"/>
          <w:vertAlign w:val="superscript"/>
        </w:rPr>
        <w:footnoteReference w:id="3"/>
      </w:r>
      <w:r w:rsidRPr="008327A1">
        <w:rPr>
          <w:rFonts w:eastAsia="Calibri" w:cs="Times New Roman"/>
        </w:rPr>
        <w:t xml:space="preserve"> (bude-li relevantní)</w:t>
      </w:r>
    </w:p>
    <w:p w14:paraId="6DD5E33F" w14:textId="77777777" w:rsidR="008327A1" w:rsidRPr="008327A1" w:rsidRDefault="008327A1" w:rsidP="008327A1">
      <w:pPr>
        <w:rPr>
          <w:rFonts w:eastAsia="Calibri" w:cs="Times New Roman"/>
        </w:rPr>
      </w:pPr>
      <w:r w:rsidRPr="008327A1">
        <w:rPr>
          <w:rFonts w:eastAsia="Calibri" w:cs="Times New Roman"/>
        </w:rPr>
        <w:t>Vyúčtování prostřednictvím Kalkulačky Aktivita 3_realizace návratového grantu</w:t>
      </w:r>
    </w:p>
    <w:p w14:paraId="417BDB20" w14:textId="77777777" w:rsidR="008327A1" w:rsidRPr="008327A1" w:rsidRDefault="008327A1" w:rsidP="008327A1">
      <w:pPr>
        <w:rPr>
          <w:rFonts w:eastAsia="Calibri" w:cs="Times New Roman"/>
        </w:rPr>
      </w:pPr>
    </w:p>
    <w:p w14:paraId="4792428D" w14:textId="77777777" w:rsidR="008327A1" w:rsidRPr="008327A1" w:rsidRDefault="008327A1" w:rsidP="008327A1">
      <w:pPr>
        <w:rPr>
          <w:rFonts w:eastAsia="Calibri" w:cs="Times New Roman"/>
          <w:b/>
          <w:bCs/>
        </w:rPr>
      </w:pPr>
      <w:r w:rsidRPr="008327A1">
        <w:rPr>
          <w:rFonts w:eastAsia="Calibri" w:cs="Times New Roman"/>
          <w:b/>
          <w:bCs/>
        </w:rPr>
        <w:lastRenderedPageBreak/>
        <w:t xml:space="preserve">Datum: </w:t>
      </w:r>
    </w:p>
    <w:p w14:paraId="510FF297" w14:textId="77777777" w:rsidR="008327A1" w:rsidRPr="008327A1" w:rsidRDefault="008327A1" w:rsidP="008327A1">
      <w:pPr>
        <w:rPr>
          <w:rFonts w:eastAsia="Calibri" w:cs="Times New Roman"/>
          <w:b/>
          <w:bCs/>
        </w:rPr>
      </w:pPr>
    </w:p>
    <w:p w14:paraId="6BDA5CC0" w14:textId="77777777" w:rsidR="008327A1" w:rsidRPr="008327A1" w:rsidRDefault="008327A1" w:rsidP="008327A1">
      <w:pPr>
        <w:rPr>
          <w:rFonts w:eastAsia="Calibri" w:cs="Times New Roman"/>
          <w:b/>
          <w:bCs/>
        </w:rPr>
      </w:pPr>
      <w:r w:rsidRPr="008327A1">
        <w:rPr>
          <w:rFonts w:eastAsia="Calibri" w:cs="Times New Roman"/>
          <w:b/>
          <w:bCs/>
        </w:rPr>
        <w:t>Podpis hlavního řešitele návratového grantu:</w:t>
      </w:r>
    </w:p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B602" w14:textId="77777777" w:rsidR="00042110" w:rsidRDefault="00042110" w:rsidP="00CE3205">
      <w:r>
        <w:separator/>
      </w:r>
    </w:p>
  </w:endnote>
  <w:endnote w:type="continuationSeparator" w:id="0">
    <w:p w14:paraId="26BA3F51" w14:textId="77777777" w:rsidR="00042110" w:rsidRDefault="0004211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853B" w14:textId="77777777" w:rsidR="00042110" w:rsidRDefault="00042110" w:rsidP="00CE3205">
      <w:r>
        <w:separator/>
      </w:r>
    </w:p>
  </w:footnote>
  <w:footnote w:type="continuationSeparator" w:id="0">
    <w:p w14:paraId="4B7ADB5A" w14:textId="77777777" w:rsidR="00042110" w:rsidRDefault="00042110" w:rsidP="00CE3205">
      <w:r>
        <w:continuationSeparator/>
      </w:r>
    </w:p>
  </w:footnote>
  <w:footnote w:id="1">
    <w:p w14:paraId="3325200C" w14:textId="77777777" w:rsidR="008327A1" w:rsidRDefault="008327A1" w:rsidP="008327A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Uvedené údaje o rozsahu činnosti musí být v souladu s informacemi uvedenými v Kalkulačce Aktivita 3_realizace návratového grantu.</w:t>
      </w:r>
    </w:p>
  </w:footnote>
  <w:footnote w:id="2">
    <w:p w14:paraId="324B2E39" w14:textId="77777777" w:rsidR="008327A1" w:rsidRDefault="008327A1" w:rsidP="008327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Účast na akcích je hlavní řešitel návratového grantu povinen podložit kopiemi relevantních dokumentů např. certifikátem, pozvánkou, programem (viz Dokládání výstupu uvedené v kap. 8.2.2. </w:t>
      </w:r>
      <w:proofErr w:type="spellStart"/>
      <w:r>
        <w:rPr>
          <w:sz w:val="16"/>
          <w:szCs w:val="16"/>
        </w:rPr>
        <w:t>SPpŽP</w:t>
      </w:r>
      <w:proofErr w:type="spellEnd"/>
      <w:r>
        <w:rPr>
          <w:sz w:val="16"/>
          <w:szCs w:val="16"/>
        </w:rPr>
        <w:t>).</w:t>
      </w:r>
    </w:p>
  </w:footnote>
  <w:footnote w:id="3">
    <w:p w14:paraId="09390D96" w14:textId="77777777" w:rsidR="008327A1" w:rsidRDefault="008327A1" w:rsidP="008327A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Příjemce si dle kap. 5.7.1 </w:t>
      </w:r>
      <w:proofErr w:type="spellStart"/>
      <w:r>
        <w:rPr>
          <w:sz w:val="16"/>
          <w:szCs w:val="16"/>
        </w:rPr>
        <w:t>SPpŽP</w:t>
      </w:r>
      <w:proofErr w:type="spellEnd"/>
      <w:r>
        <w:rPr>
          <w:sz w:val="16"/>
          <w:szCs w:val="16"/>
        </w:rPr>
        <w:t xml:space="preserve"> může stanovit, zda Zpráva o průběhu mobility bude doložena jako součást Průběžné/závěrečné zprávy o 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42110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8384B"/>
    <w:rsid w:val="002D4F95"/>
    <w:rsid w:val="002E29AB"/>
    <w:rsid w:val="0032720E"/>
    <w:rsid w:val="003359FF"/>
    <w:rsid w:val="004316C2"/>
    <w:rsid w:val="00445D8B"/>
    <w:rsid w:val="004538FE"/>
    <w:rsid w:val="004C4791"/>
    <w:rsid w:val="004E4EE5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327A1"/>
    <w:rsid w:val="00866748"/>
    <w:rsid w:val="008A7BE6"/>
    <w:rsid w:val="008B721A"/>
    <w:rsid w:val="008F5355"/>
    <w:rsid w:val="00912332"/>
    <w:rsid w:val="009138DE"/>
    <w:rsid w:val="00932806"/>
    <w:rsid w:val="00943B55"/>
    <w:rsid w:val="00951B61"/>
    <w:rsid w:val="009740D5"/>
    <w:rsid w:val="009F74DD"/>
    <w:rsid w:val="00A01894"/>
    <w:rsid w:val="00A02B7A"/>
    <w:rsid w:val="00A13D1D"/>
    <w:rsid w:val="00A45DA2"/>
    <w:rsid w:val="00A70C5F"/>
    <w:rsid w:val="00AA7AD7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A7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A13D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8327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2026-03-31T08:07:00Z</dcterms:created>
  <dcterms:modified xsi:type="dcterms:W3CDTF">2026-03-31T08:07:00Z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