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B364" w14:textId="445EC1CC" w:rsidR="00F305B8" w:rsidRPr="00363B9C" w:rsidRDefault="00430641" w:rsidP="00BD4751">
      <w:pPr>
        <w:pStyle w:val="Nadpis1"/>
        <w:jc w:val="center"/>
        <w:rPr>
          <w:lang w:eastAsia="cs-CZ"/>
        </w:rPr>
      </w:pPr>
      <w:r>
        <w:rPr>
          <w:lang w:eastAsia="cs-CZ"/>
        </w:rPr>
        <w:t xml:space="preserve"> </w:t>
      </w:r>
      <w:r w:rsidR="00F82A2A">
        <w:rPr>
          <w:lang w:eastAsia="cs-CZ"/>
        </w:rPr>
        <w:t xml:space="preserve"> </w:t>
      </w:r>
      <w:r w:rsidR="00F305B8">
        <w:rPr>
          <w:lang w:eastAsia="cs-CZ"/>
        </w:rPr>
        <w:t>Základní parametry</w:t>
      </w:r>
      <w:r w:rsidR="00F305B8" w:rsidRPr="00363B9C">
        <w:rPr>
          <w:lang w:eastAsia="cs-CZ"/>
        </w:rPr>
        <w:t xml:space="preserve"> projektu</w:t>
      </w:r>
    </w:p>
    <w:p w14:paraId="2C7D39CE" w14:textId="6F0294AB" w:rsidR="00F305B8" w:rsidRDefault="00F305B8" w:rsidP="00BD4751">
      <w:pPr>
        <w:jc w:val="center"/>
        <w:rPr>
          <w:rFonts w:cs="Calibri"/>
        </w:rPr>
      </w:pPr>
      <w:r w:rsidRPr="00770443">
        <w:rPr>
          <w:rFonts w:cs="Calibri"/>
        </w:rPr>
        <w:t xml:space="preserve">Registrační číslo: </w:t>
      </w:r>
      <w:r w:rsidRPr="00770443">
        <w:rPr>
          <w:rFonts w:cs="Calibri"/>
          <w:highlight w:val="lightGray"/>
        </w:rPr>
        <w:t>…</w:t>
      </w:r>
    </w:p>
    <w:p w14:paraId="7EBCBD3D" w14:textId="77777777" w:rsidR="001C7CB4" w:rsidRPr="004A754C" w:rsidRDefault="001C7CB4" w:rsidP="001C7CB4">
      <w:pPr>
        <w:autoSpaceDE w:val="0"/>
        <w:autoSpaceDN w:val="0"/>
        <w:adjustRightInd w:val="0"/>
        <w:rPr>
          <w:rFonts w:eastAsia="Times New Roman"/>
          <w:i/>
          <w:iCs/>
          <w:color w:val="000000" w:themeColor="text1"/>
        </w:rPr>
      </w:pPr>
      <w:r w:rsidRPr="004A754C">
        <w:rPr>
          <w:rFonts w:eastAsia="Times New Roman"/>
          <w:i/>
          <w:iCs/>
          <w:color w:val="000000" w:themeColor="text1"/>
        </w:rPr>
        <w:t>Upozornění: Závazky formulované žadatelem na místa určená k převodu do Základních parametrů projektu mohou být hodnoticí komisí upraveny formou výhrady.</w:t>
      </w:r>
    </w:p>
    <w:p w14:paraId="5B1F5A44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F25590">
        <w:t>Partneři projektu</w:t>
      </w:r>
      <w:r w:rsidRPr="00BD4751">
        <w:rPr>
          <w:rStyle w:val="Znakapoznpodarou"/>
          <w:rFonts w:eastAsiaTheme="majorEastAsia" w:cs="Arial"/>
          <w:bCs/>
          <w:sz w:val="26"/>
          <w:szCs w:val="26"/>
        </w:rPr>
        <w:footnoteReference w:id="2"/>
      </w:r>
    </w:p>
    <w:p w14:paraId="5CD6D903" w14:textId="77777777" w:rsidR="00F305B8" w:rsidRPr="00770443" w:rsidRDefault="00F305B8" w:rsidP="00A22567">
      <w:pPr>
        <w:autoSpaceDE w:val="0"/>
        <w:autoSpaceDN w:val="0"/>
        <w:adjustRightInd w:val="0"/>
        <w:jc w:val="left"/>
        <w:rPr>
          <w:rFonts w:cs="Calibri"/>
        </w:rPr>
      </w:pPr>
      <w:r w:rsidRPr="00770443">
        <w:rPr>
          <w:rFonts w:cs="Calibri"/>
        </w:rPr>
        <w:t>IČO:</w:t>
      </w:r>
      <w:r w:rsidRPr="00D56337">
        <w:rPr>
          <w:rFonts w:cs="Calibri"/>
        </w:rPr>
        <w:t xml:space="preserve"> </w:t>
      </w:r>
      <w:r w:rsidRPr="00770443">
        <w:rPr>
          <w:rFonts w:cs="Calibri"/>
          <w:highlight w:val="lightGray"/>
        </w:rPr>
        <w:t>…</w:t>
      </w:r>
    </w:p>
    <w:p w14:paraId="39504106" w14:textId="77777777" w:rsidR="00F305B8" w:rsidRPr="00770443" w:rsidRDefault="00F305B8" w:rsidP="00A22567">
      <w:pPr>
        <w:rPr>
          <w:rFonts w:cs="Calibri"/>
        </w:rPr>
      </w:pPr>
      <w:r w:rsidRPr="00770443">
        <w:rPr>
          <w:rFonts w:cs="Calibri"/>
        </w:rPr>
        <w:t xml:space="preserve">Typ partnera: </w:t>
      </w:r>
      <w:r w:rsidRPr="00770443">
        <w:rPr>
          <w:rFonts w:cs="Calibri"/>
          <w:highlight w:val="lightGray"/>
        </w:rPr>
        <w:t>…</w:t>
      </w:r>
    </w:p>
    <w:p w14:paraId="7EB18DF0" w14:textId="2C5B1069" w:rsidR="00A22567" w:rsidRPr="00FF3A92" w:rsidRDefault="00E62CAD" w:rsidP="00A22567">
      <w:pPr>
        <w:rPr>
          <w:rFonts w:cstheme="minorHAnsi"/>
          <w:i/>
          <w:sz w:val="20"/>
          <w:szCs w:val="20"/>
        </w:rPr>
      </w:pPr>
      <w:r>
        <w:rPr>
          <w:rFonts w:cs="Calibri"/>
          <w:i/>
        </w:rPr>
        <w:t>Sem</w:t>
      </w:r>
      <w:r w:rsidR="007C65D2">
        <w:rPr>
          <w:rFonts w:cs="Calibri"/>
          <w:i/>
        </w:rPr>
        <w:t xml:space="preserve"> bude z žádosti o podporu</w:t>
      </w:r>
      <w:r w:rsidR="00FF3A92">
        <w:rPr>
          <w:rFonts w:cs="Calibri"/>
          <w:i/>
        </w:rPr>
        <w:t xml:space="preserve"> </w:t>
      </w:r>
      <w:r w:rsidR="007C65D2">
        <w:rPr>
          <w:rFonts w:cs="Calibri"/>
          <w:i/>
        </w:rPr>
        <w:t>přeneseno</w:t>
      </w:r>
      <w:r w:rsidR="00FF3A92">
        <w:rPr>
          <w:rFonts w:cs="Calibri"/>
          <w:i/>
        </w:rPr>
        <w:t xml:space="preserve"> IČO a</w:t>
      </w:r>
      <w:r w:rsidR="00F305B8" w:rsidRPr="00FF3A92">
        <w:rPr>
          <w:rFonts w:cs="Calibri"/>
          <w:i/>
        </w:rPr>
        <w:t xml:space="preserve"> typ </w:t>
      </w:r>
      <w:r w:rsidR="00FF3A92">
        <w:rPr>
          <w:rFonts w:cs="Calibri"/>
          <w:i/>
        </w:rPr>
        <w:t>každého z partnerů (</w:t>
      </w:r>
      <w:r w:rsidR="00F305B8" w:rsidRPr="00FF3A92">
        <w:rPr>
          <w:rFonts w:cs="Calibri"/>
          <w:i/>
        </w:rPr>
        <w:t xml:space="preserve">s finančním příspěvkem </w:t>
      </w:r>
      <w:r w:rsidR="00F305B8" w:rsidRPr="00FF3A92">
        <w:rPr>
          <w:rFonts w:cs="Calibri"/>
          <w:i/>
        </w:rPr>
        <w:softHyphen/>
        <w:t>/ bez finančního příspěvku</w:t>
      </w:r>
      <w:r w:rsidR="00FF3A92">
        <w:rPr>
          <w:rFonts w:cs="Calibri"/>
          <w:i/>
        </w:rPr>
        <w:t>)</w:t>
      </w:r>
      <w:r w:rsidR="00F305B8" w:rsidRPr="00FF3A92">
        <w:rPr>
          <w:rFonts w:cstheme="minorHAnsi"/>
          <w:i/>
          <w:sz w:val="20"/>
          <w:szCs w:val="20"/>
        </w:rPr>
        <w:t>.</w:t>
      </w:r>
    </w:p>
    <w:p w14:paraId="071FD967" w14:textId="01EDAA48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Popis projektu</w:t>
      </w:r>
      <w:r w:rsidR="00C53D88">
        <w:rPr>
          <w:rStyle w:val="Znakapoznpodarou"/>
        </w:rPr>
        <w:footnoteReference w:id="3"/>
      </w:r>
    </w:p>
    <w:p w14:paraId="6BE3E622" w14:textId="3F23D167" w:rsidR="00F305B8" w:rsidRPr="00770443" w:rsidRDefault="00F305B8" w:rsidP="00F305B8">
      <w:pPr>
        <w:autoSpaceDE w:val="0"/>
        <w:autoSpaceDN w:val="0"/>
        <w:adjustRightInd w:val="0"/>
        <w:spacing w:after="0"/>
        <w:jc w:val="left"/>
        <w:rPr>
          <w:rFonts w:cs="Calibri"/>
          <w:b/>
        </w:rPr>
      </w:pPr>
      <w:r w:rsidRPr="00770443">
        <w:rPr>
          <w:rFonts w:cs="Calibri"/>
          <w:b/>
        </w:rPr>
        <w:t>Cíle projektu</w:t>
      </w:r>
    </w:p>
    <w:p w14:paraId="008EE467" w14:textId="77777777" w:rsidR="00AA4BFB" w:rsidRPr="00770443" w:rsidRDefault="00AA4BFB" w:rsidP="00AA4BFB">
      <w:pPr>
        <w:autoSpaceDE w:val="0"/>
        <w:autoSpaceDN w:val="0"/>
        <w:adjustRightInd w:val="0"/>
        <w:spacing w:after="0"/>
        <w:jc w:val="left"/>
        <w:rPr>
          <w:rFonts w:cs="Calibri"/>
          <w:b/>
        </w:rPr>
      </w:pPr>
      <w:r>
        <w:rPr>
          <w:i/>
          <w:iCs/>
        </w:rPr>
        <w:t xml:space="preserve">Sem </w:t>
      </w:r>
      <w:r w:rsidRPr="005A1257">
        <w:rPr>
          <w:i/>
          <w:iCs/>
        </w:rPr>
        <w:t>budou převedeny údaje z</w:t>
      </w:r>
      <w:r>
        <w:rPr>
          <w:i/>
          <w:iCs/>
        </w:rPr>
        <w:t> </w:t>
      </w:r>
      <w:r w:rsidRPr="005A1257">
        <w:rPr>
          <w:i/>
          <w:iCs/>
        </w:rPr>
        <w:t>kapitoly</w:t>
      </w:r>
      <w:r>
        <w:rPr>
          <w:i/>
          <w:iCs/>
        </w:rPr>
        <w:t xml:space="preserve"> 5</w:t>
      </w:r>
      <w:r w:rsidRPr="00204165">
        <w:rPr>
          <w:i/>
          <w:iCs/>
        </w:rPr>
        <w:t>.</w:t>
      </w:r>
      <w:r>
        <w:rPr>
          <w:i/>
          <w:iCs/>
        </w:rPr>
        <w:t xml:space="preserve"> Cíle projektu Studie proveditelnosti.</w:t>
      </w:r>
    </w:p>
    <w:p w14:paraId="514E6A05" w14:textId="56433BE4" w:rsidR="001C743E" w:rsidRDefault="001C743E" w:rsidP="00F57BEC">
      <w:pPr>
        <w:autoSpaceDE w:val="0"/>
        <w:autoSpaceDN w:val="0"/>
        <w:adjustRightInd w:val="0"/>
        <w:rPr>
          <w:rFonts w:cs="Calibri"/>
        </w:rPr>
      </w:pPr>
      <w:bookmarkStart w:id="0" w:name="_Hlk115073875"/>
      <w:r>
        <w:rPr>
          <w:rFonts w:cs="Calibri"/>
        </w:rPr>
        <w:t xml:space="preserve">Cílem </w:t>
      </w:r>
      <w:r w:rsidR="00232DBC">
        <w:rPr>
          <w:rFonts w:cs="Calibri"/>
        </w:rPr>
        <w:t xml:space="preserve">projektu </w:t>
      </w:r>
      <w:r w:rsidR="00CB0972">
        <w:rPr>
          <w:rFonts w:cs="Calibri"/>
        </w:rPr>
        <w:t xml:space="preserve">č. 1 </w:t>
      </w:r>
      <w:r>
        <w:rPr>
          <w:rFonts w:cs="Calibri"/>
        </w:rPr>
        <w:t>je</w:t>
      </w:r>
      <w:r w:rsidR="00D93D1A">
        <w:rPr>
          <w:rFonts w:cs="Calibri"/>
        </w:rPr>
        <w:t xml:space="preserve"> </w:t>
      </w:r>
      <w:r w:rsidR="00D93D1A" w:rsidRPr="00D93D1A">
        <w:rPr>
          <w:rFonts w:cs="Calibri"/>
        </w:rPr>
        <w:t>vybudování Národní repozitářové platformy</w:t>
      </w:r>
      <w:r>
        <w:rPr>
          <w:rFonts w:cs="Calibri"/>
        </w:rPr>
        <w:t xml:space="preserve"> prostřednictvím klíčových aktivit </w:t>
      </w:r>
      <w:r w:rsidRPr="001C4B5D">
        <w:rPr>
          <w:rFonts w:cs="Calibri"/>
          <w:highlight w:val="lightGray"/>
        </w:rPr>
        <w:t>KA</w:t>
      </w:r>
      <w:r w:rsidR="00F57BEC">
        <w:rPr>
          <w:rFonts w:cs="Calibri"/>
          <w:highlight w:val="lightGray"/>
        </w:rPr>
        <w:t> </w:t>
      </w:r>
      <w:r w:rsidRPr="001C4B5D">
        <w:rPr>
          <w:rFonts w:cs="Calibri"/>
          <w:highlight w:val="lightGray"/>
        </w:rPr>
        <w:t xml:space="preserve">2, KA 3, </w:t>
      </w:r>
      <w:r>
        <w:rPr>
          <w:rFonts w:cs="Calibri"/>
          <w:highlight w:val="lightGray"/>
        </w:rPr>
        <w:t xml:space="preserve">KA 4 </w:t>
      </w:r>
      <w:r w:rsidRPr="001C4B5D">
        <w:rPr>
          <w:rFonts w:cs="Calibri"/>
          <w:highlight w:val="lightGray"/>
        </w:rPr>
        <w:t>...</w:t>
      </w:r>
    </w:p>
    <w:p w14:paraId="69A21164" w14:textId="1A9DF6C4" w:rsidR="00CB0972" w:rsidRDefault="00CB0972" w:rsidP="00F57BEC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Cílem </w:t>
      </w:r>
      <w:r w:rsidR="00232DBC">
        <w:rPr>
          <w:rFonts w:cs="Calibri"/>
        </w:rPr>
        <w:t xml:space="preserve">projektu </w:t>
      </w:r>
      <w:r>
        <w:rPr>
          <w:rFonts w:cs="Calibri"/>
        </w:rPr>
        <w:t xml:space="preserve">č. 2 je </w:t>
      </w:r>
      <w:r w:rsidR="00D93D1A" w:rsidRPr="00D93D1A">
        <w:rPr>
          <w:rFonts w:cs="Calibri"/>
        </w:rPr>
        <w:t>realizace školení a osvěta v oblasti funkcionalit a služeb N</w:t>
      </w:r>
      <w:r w:rsidR="00D93D1A">
        <w:rPr>
          <w:rFonts w:cs="Calibri"/>
        </w:rPr>
        <w:t>árodní repozitářové platformy</w:t>
      </w:r>
      <w:r>
        <w:rPr>
          <w:rFonts w:cs="Calibri"/>
        </w:rPr>
        <w:t xml:space="preserve"> prostřednictvím klíčových aktivit </w:t>
      </w:r>
      <w:r w:rsidRPr="001C4B5D">
        <w:rPr>
          <w:rFonts w:cs="Calibri"/>
          <w:highlight w:val="lightGray"/>
        </w:rPr>
        <w:t xml:space="preserve">KA 2, KA 3, </w:t>
      </w:r>
      <w:r>
        <w:rPr>
          <w:rFonts w:cs="Calibri"/>
          <w:highlight w:val="lightGray"/>
        </w:rPr>
        <w:t xml:space="preserve">KA 4 </w:t>
      </w:r>
      <w:r w:rsidRPr="001C4B5D">
        <w:rPr>
          <w:rFonts w:cs="Calibri"/>
          <w:highlight w:val="lightGray"/>
        </w:rPr>
        <w:t>...</w:t>
      </w:r>
    </w:p>
    <w:bookmarkEnd w:id="0"/>
    <w:p w14:paraId="48461B35" w14:textId="71810EED" w:rsidR="001C743E" w:rsidRPr="00770443" w:rsidRDefault="001C743E" w:rsidP="001C743E">
      <w:pPr>
        <w:autoSpaceDE w:val="0"/>
        <w:autoSpaceDN w:val="0"/>
        <w:adjustRightInd w:val="0"/>
        <w:rPr>
          <w:rFonts w:cs="Calibri"/>
          <w:i/>
        </w:rPr>
      </w:pPr>
      <w:r>
        <w:rPr>
          <w:rFonts w:cs="Calibri"/>
          <w:i/>
        </w:rPr>
        <w:t>Bude doplněno označení klíčových aktivit (KA)</w:t>
      </w:r>
      <w:r w:rsidR="00CB0972">
        <w:rPr>
          <w:rFonts w:cs="Calibri"/>
          <w:i/>
        </w:rPr>
        <w:t xml:space="preserve"> dle žádosti o podporu</w:t>
      </w:r>
      <w:r>
        <w:rPr>
          <w:rFonts w:cs="Calibri"/>
          <w:i/>
        </w:rPr>
        <w:t>. KA 1 Řízení projektu se neuvádí.</w:t>
      </w:r>
    </w:p>
    <w:p w14:paraId="5FC8B7D1" w14:textId="4CF12906" w:rsidR="00F305B8" w:rsidRPr="00770443" w:rsidRDefault="00F305B8" w:rsidP="007C65D2">
      <w:pPr>
        <w:spacing w:before="240"/>
        <w:rPr>
          <w:rFonts w:cs="Calibri"/>
          <w:b/>
        </w:rPr>
      </w:pPr>
      <w:r w:rsidRPr="00770443">
        <w:rPr>
          <w:rFonts w:cs="Calibri"/>
          <w:b/>
        </w:rPr>
        <w:t>Klíčové aktivity</w:t>
      </w:r>
    </w:p>
    <w:p w14:paraId="7794E47D" w14:textId="568EEFD5" w:rsidR="00F305B8" w:rsidRPr="00FF3A92" w:rsidRDefault="00FF3A92" w:rsidP="00FC7D8E">
      <w:pPr>
        <w:autoSpaceDE w:val="0"/>
        <w:autoSpaceDN w:val="0"/>
        <w:adjustRightInd w:val="0"/>
        <w:rPr>
          <w:rFonts w:cs="Calibri"/>
          <w:i/>
        </w:rPr>
      </w:pPr>
      <w:r w:rsidRPr="00FF3A92">
        <w:rPr>
          <w:rFonts w:cs="Calibri"/>
          <w:i/>
        </w:rPr>
        <w:t>Sem bude přenesen t</w:t>
      </w:r>
      <w:r w:rsidR="00F305B8" w:rsidRPr="00FF3A92">
        <w:rPr>
          <w:rFonts w:cs="Calibri"/>
          <w:i/>
        </w:rPr>
        <w:t>ext pol</w:t>
      </w:r>
      <w:r w:rsidR="001C743E">
        <w:rPr>
          <w:rFonts w:cs="Calibri"/>
          <w:i/>
        </w:rPr>
        <w:t>í v</w:t>
      </w:r>
      <w:r w:rsidR="0052632C">
        <w:rPr>
          <w:rFonts w:cs="Calibri"/>
          <w:i/>
        </w:rPr>
        <w:t> </w:t>
      </w:r>
      <w:r w:rsidR="001C743E">
        <w:rPr>
          <w:rFonts w:cs="Calibri"/>
          <w:i/>
        </w:rPr>
        <w:t>kap</w:t>
      </w:r>
      <w:r w:rsidR="0052632C">
        <w:rPr>
          <w:rFonts w:cs="Calibri"/>
          <w:i/>
        </w:rPr>
        <w:t xml:space="preserve">itoly </w:t>
      </w:r>
      <w:r w:rsidR="00D93D1A">
        <w:rPr>
          <w:rFonts w:cs="Calibri"/>
          <w:i/>
        </w:rPr>
        <w:t>10. Klíčové aktivity</w:t>
      </w:r>
      <w:r w:rsidR="001C743E">
        <w:rPr>
          <w:rFonts w:cs="Calibri"/>
          <w:i/>
        </w:rPr>
        <w:t xml:space="preserve"> Studie proveditelnosti </w:t>
      </w:r>
      <w:r w:rsidR="00C32C5B">
        <w:rPr>
          <w:rFonts w:cs="Calibri"/>
          <w:i/>
        </w:rPr>
        <w:t xml:space="preserve">označených jako </w:t>
      </w:r>
      <w:r w:rsidR="00F57BEC">
        <w:rPr>
          <w:rFonts w:cs="Calibri"/>
          <w:i/>
        </w:rPr>
        <w:t xml:space="preserve">text </w:t>
      </w:r>
      <w:r w:rsidR="00C32C5B">
        <w:rPr>
          <w:rFonts w:cs="Calibri"/>
          <w:i/>
          <w:highlight w:val="lightGray"/>
        </w:rPr>
        <w:t>k</w:t>
      </w:r>
      <w:r w:rsidR="00F57BEC">
        <w:rPr>
          <w:rFonts w:cs="Calibri"/>
          <w:i/>
          <w:highlight w:val="lightGray"/>
        </w:rPr>
        <w:t> </w:t>
      </w:r>
      <w:r w:rsidR="00C32C5B" w:rsidRPr="00C32C5B">
        <w:rPr>
          <w:rFonts w:cs="Calibri"/>
          <w:i/>
          <w:highlight w:val="lightGray"/>
        </w:rPr>
        <w:t>přev</w:t>
      </w:r>
      <w:r w:rsidR="00C32C5B">
        <w:rPr>
          <w:rFonts w:cs="Calibri"/>
          <w:i/>
          <w:highlight w:val="lightGray"/>
        </w:rPr>
        <w:t xml:space="preserve">odu </w:t>
      </w:r>
      <w:r w:rsidR="00C32C5B" w:rsidRPr="00C32C5B">
        <w:rPr>
          <w:rFonts w:cs="Calibri"/>
          <w:i/>
          <w:highlight w:val="lightGray"/>
        </w:rPr>
        <w:t>do ZPP</w:t>
      </w:r>
      <w:r w:rsidR="00CB0972">
        <w:rPr>
          <w:rFonts w:cs="Calibri"/>
          <w:i/>
        </w:rPr>
        <w:t>.</w:t>
      </w:r>
      <w:r w:rsidR="00F305B8" w:rsidRPr="00FF3A92">
        <w:rPr>
          <w:rFonts w:cs="Calibri"/>
          <w:i/>
        </w:rPr>
        <w:t xml:space="preserve"> Do ZPP se přenáší všechny klíčové aktivity s výjimkou KA 1 Řízení projektu.</w:t>
      </w:r>
    </w:p>
    <w:p w14:paraId="074C011A" w14:textId="3ED8B3AF" w:rsidR="00F305B8" w:rsidRPr="00770443" w:rsidRDefault="00F305B8" w:rsidP="00FC7D8E">
      <w:pPr>
        <w:autoSpaceDE w:val="0"/>
        <w:autoSpaceDN w:val="0"/>
        <w:adjustRightInd w:val="0"/>
        <w:jc w:val="left"/>
        <w:rPr>
          <w:rFonts w:cs="Calibri"/>
          <w:u w:val="single"/>
        </w:rPr>
      </w:pPr>
      <w:r w:rsidRPr="00770443">
        <w:rPr>
          <w:rFonts w:cs="Calibri"/>
          <w:b/>
          <w:u w:val="single"/>
        </w:rPr>
        <w:t>Název KA 2:</w:t>
      </w:r>
      <w:r w:rsidRPr="00770443">
        <w:rPr>
          <w:rFonts w:cs="Calibri"/>
          <w:b/>
        </w:rPr>
        <w:t xml:space="preserve"> </w:t>
      </w:r>
      <w:r w:rsidRPr="00770443">
        <w:rPr>
          <w:rFonts w:cs="Calibri"/>
          <w:highlight w:val="lightGray"/>
        </w:rPr>
        <w:t>…</w:t>
      </w:r>
      <w:r w:rsidR="00FF3A92">
        <w:rPr>
          <w:rStyle w:val="Znakapoznpodarou"/>
          <w:rFonts w:cs="Calibri"/>
          <w:highlight w:val="lightGray"/>
        </w:rPr>
        <w:footnoteReference w:id="4"/>
      </w:r>
    </w:p>
    <w:p w14:paraId="1C5136A7" w14:textId="68585C09" w:rsidR="001C743E" w:rsidRDefault="00F305B8" w:rsidP="00FC7D8E">
      <w:pPr>
        <w:autoSpaceDE w:val="0"/>
        <w:autoSpaceDN w:val="0"/>
        <w:adjustRightInd w:val="0"/>
        <w:jc w:val="left"/>
        <w:rPr>
          <w:rFonts w:cs="Calibri"/>
          <w:b/>
          <w:u w:val="single"/>
        </w:rPr>
      </w:pPr>
      <w:r w:rsidRPr="00770443">
        <w:rPr>
          <w:rFonts w:cs="Calibri"/>
          <w:b/>
          <w:u w:val="single"/>
        </w:rPr>
        <w:t>Popis KA 2:</w:t>
      </w:r>
    </w:p>
    <w:p w14:paraId="31693AC3" w14:textId="20F658C7" w:rsidR="001C743E" w:rsidRPr="001C743E" w:rsidRDefault="001C743E" w:rsidP="00FC7D8E">
      <w:pPr>
        <w:autoSpaceDE w:val="0"/>
        <w:autoSpaceDN w:val="0"/>
        <w:adjustRightInd w:val="0"/>
        <w:jc w:val="left"/>
        <w:rPr>
          <w:rFonts w:cs="Calibri"/>
          <w:bCs/>
        </w:rPr>
      </w:pPr>
      <w:r w:rsidRPr="001C743E">
        <w:rPr>
          <w:rFonts w:cs="Calibri"/>
          <w:bCs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731DC" w14:textId="7A2B2A95" w:rsidR="001C743E" w:rsidRDefault="001C743E" w:rsidP="00FC7D8E">
      <w:pPr>
        <w:autoSpaceDE w:val="0"/>
        <w:autoSpaceDN w:val="0"/>
        <w:adjustRightInd w:val="0"/>
        <w:jc w:val="left"/>
        <w:rPr>
          <w:rFonts w:cs="Calibri"/>
          <w:bCs/>
          <w:i/>
          <w:iCs/>
        </w:rPr>
      </w:pPr>
      <w:r>
        <w:rPr>
          <w:rFonts w:cs="Calibri"/>
          <w:bCs/>
          <w:i/>
          <w:iCs/>
        </w:rPr>
        <w:t>Obdobně též pro KA 3, KA 4 atd.</w:t>
      </w:r>
    </w:p>
    <w:p w14:paraId="18343B44" w14:textId="77777777" w:rsidR="001D02A3" w:rsidRDefault="005D143F" w:rsidP="00006E2F">
      <w:pPr>
        <w:pStyle w:val="Tabulkatext"/>
        <w:spacing w:before="240"/>
        <w:ind w:left="0" w:right="-2"/>
        <w:rPr>
          <w:i/>
          <w:iCs/>
          <w:sz w:val="22"/>
        </w:rPr>
      </w:pPr>
      <w:r w:rsidRPr="00936D7C">
        <w:rPr>
          <w:rFonts w:cs="Calibri"/>
          <w:b/>
          <w:bCs/>
          <w:sz w:val="22"/>
        </w:rPr>
        <w:t>Přehled výstupů projektu</w:t>
      </w:r>
      <w:r>
        <w:rPr>
          <w:rStyle w:val="Znakapoznpodarou"/>
          <w:rFonts w:cs="Calibri"/>
          <w:sz w:val="22"/>
        </w:rPr>
        <w:footnoteReference w:id="5"/>
      </w:r>
      <w:r w:rsidR="001D02A3" w:rsidRPr="001D02A3">
        <w:rPr>
          <w:i/>
          <w:iCs/>
          <w:sz w:val="22"/>
        </w:rPr>
        <w:t xml:space="preserve"> </w:t>
      </w:r>
    </w:p>
    <w:p w14:paraId="71A52263" w14:textId="5B59D2EE" w:rsidR="001D02A3" w:rsidRDefault="001D02A3" w:rsidP="001D02A3">
      <w:pPr>
        <w:pStyle w:val="Tabulkatext"/>
        <w:spacing w:before="120" w:after="120"/>
        <w:ind w:left="0"/>
        <w:rPr>
          <w:i/>
          <w:iCs/>
          <w:sz w:val="22"/>
        </w:rPr>
      </w:pPr>
      <w:r w:rsidRPr="005A1257">
        <w:rPr>
          <w:i/>
          <w:iCs/>
          <w:sz w:val="22"/>
        </w:rPr>
        <w:t xml:space="preserve">Do tabulky budou převedeny údaje z kapitoly </w:t>
      </w:r>
      <w:r w:rsidRPr="00204165">
        <w:rPr>
          <w:i/>
          <w:iCs/>
          <w:sz w:val="22"/>
        </w:rPr>
        <w:t>11. Hlavní plánov</w:t>
      </w:r>
      <w:r>
        <w:rPr>
          <w:i/>
          <w:iCs/>
          <w:sz w:val="22"/>
        </w:rPr>
        <w:t>a</w:t>
      </w:r>
      <w:r w:rsidRPr="00204165">
        <w:rPr>
          <w:i/>
          <w:iCs/>
          <w:sz w:val="22"/>
        </w:rPr>
        <w:t>né výstupy/produkty a kap</w:t>
      </w:r>
      <w:r w:rsidR="0052632C">
        <w:rPr>
          <w:i/>
          <w:iCs/>
          <w:sz w:val="22"/>
        </w:rPr>
        <w:t>itoly</w:t>
      </w:r>
      <w:r w:rsidRPr="00204165">
        <w:rPr>
          <w:i/>
          <w:iCs/>
          <w:sz w:val="22"/>
        </w:rPr>
        <w:t xml:space="preserve"> 12. Technická proveditelnost / technické</w:t>
      </w:r>
      <w:r w:rsidR="00B05B96">
        <w:rPr>
          <w:i/>
          <w:iCs/>
          <w:sz w:val="22"/>
        </w:rPr>
        <w:t xml:space="preserve"> a</w:t>
      </w:r>
      <w:r w:rsidRPr="00204165">
        <w:rPr>
          <w:i/>
          <w:iCs/>
          <w:sz w:val="22"/>
        </w:rPr>
        <w:t xml:space="preserve"> přístrojové vybavení, stavební </w:t>
      </w:r>
      <w:r w:rsidRPr="00596B40">
        <w:rPr>
          <w:i/>
          <w:iCs/>
          <w:sz w:val="22"/>
        </w:rPr>
        <w:t>náklady</w:t>
      </w:r>
      <w:r w:rsidRPr="00596B40" w:rsidDel="00204165">
        <w:rPr>
          <w:i/>
          <w:iCs/>
          <w:sz w:val="22"/>
        </w:rPr>
        <w:t xml:space="preserve"> </w:t>
      </w:r>
      <w:r w:rsidRPr="00596B40">
        <w:rPr>
          <w:i/>
          <w:iCs/>
          <w:sz w:val="22"/>
        </w:rPr>
        <w:t>Studie</w:t>
      </w:r>
      <w:r w:rsidRPr="005A1257">
        <w:rPr>
          <w:i/>
          <w:iCs/>
          <w:sz w:val="22"/>
        </w:rPr>
        <w:t xml:space="preserve"> proveditelnosti.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85"/>
        <w:gridCol w:w="2406"/>
        <w:gridCol w:w="1841"/>
        <w:gridCol w:w="1135"/>
        <w:gridCol w:w="993"/>
      </w:tblGrid>
      <w:tr w:rsidR="0045389D" w14:paraId="56203C81" w14:textId="77777777" w:rsidTr="00FA3939">
        <w:trPr>
          <w:trHeight w:val="317"/>
        </w:trPr>
        <w:tc>
          <w:tcPr>
            <w:tcW w:w="2688" w:type="dxa"/>
            <w:vAlign w:val="center"/>
          </w:tcPr>
          <w:p w14:paraId="339393D2" w14:textId="77777777" w:rsidR="0045389D" w:rsidRPr="0045389D" w:rsidRDefault="0045389D" w:rsidP="0045389D">
            <w:pPr>
              <w:tabs>
                <w:tab w:val="clear" w:pos="5790"/>
              </w:tabs>
              <w:spacing w:before="0" w:after="0"/>
              <w:ind w:left="133"/>
              <w:jc w:val="center"/>
              <w:rPr>
                <w:rFonts w:cs="Calibri"/>
                <w:b/>
                <w:sz w:val="20"/>
                <w:szCs w:val="20"/>
              </w:rPr>
            </w:pPr>
            <w:r w:rsidRPr="0045389D">
              <w:rPr>
                <w:rFonts w:cs="Calibri"/>
                <w:b/>
                <w:sz w:val="20"/>
                <w:szCs w:val="20"/>
              </w:rPr>
              <w:t>Název výstupu</w:t>
            </w:r>
          </w:p>
        </w:tc>
        <w:tc>
          <w:tcPr>
            <w:tcW w:w="2409" w:type="dxa"/>
            <w:vAlign w:val="center"/>
          </w:tcPr>
          <w:p w14:paraId="19A42FB7" w14:textId="1AEC3068" w:rsidR="0045389D" w:rsidRPr="0045389D" w:rsidRDefault="0045389D" w:rsidP="0045389D">
            <w:pPr>
              <w:tabs>
                <w:tab w:val="clear" w:pos="5790"/>
              </w:tabs>
              <w:spacing w:before="0" w:after="0"/>
              <w:ind w:left="133"/>
              <w:jc w:val="center"/>
              <w:rPr>
                <w:rFonts w:cs="Calibri"/>
                <w:b/>
                <w:sz w:val="20"/>
                <w:szCs w:val="20"/>
              </w:rPr>
            </w:pPr>
            <w:r w:rsidRPr="0045389D">
              <w:rPr>
                <w:rFonts w:cs="Calibri"/>
                <w:b/>
                <w:sz w:val="20"/>
                <w:szCs w:val="20"/>
              </w:rPr>
              <w:t>Způsob doložení výstupu</w:t>
            </w:r>
          </w:p>
        </w:tc>
        <w:tc>
          <w:tcPr>
            <w:tcW w:w="1843" w:type="dxa"/>
            <w:vAlign w:val="center"/>
          </w:tcPr>
          <w:p w14:paraId="3AD034AB" w14:textId="77777777" w:rsidR="0045389D" w:rsidRPr="0045389D" w:rsidRDefault="0045389D" w:rsidP="0045389D">
            <w:pPr>
              <w:tabs>
                <w:tab w:val="clear" w:pos="5790"/>
              </w:tabs>
              <w:spacing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5389D">
              <w:rPr>
                <w:rFonts w:cs="Calibri"/>
                <w:b/>
                <w:sz w:val="20"/>
                <w:szCs w:val="20"/>
              </w:rPr>
              <w:t xml:space="preserve">Vazba výstupu </w:t>
            </w:r>
          </w:p>
          <w:p w14:paraId="37960212" w14:textId="4E83351A" w:rsidR="0045389D" w:rsidRPr="0045389D" w:rsidRDefault="0045389D" w:rsidP="0045389D">
            <w:pPr>
              <w:tabs>
                <w:tab w:val="clear" w:pos="5790"/>
              </w:tabs>
              <w:spacing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5389D">
              <w:rPr>
                <w:rFonts w:cs="Calibri"/>
                <w:b/>
                <w:sz w:val="20"/>
                <w:szCs w:val="20"/>
              </w:rPr>
              <w:t>na výstup jiného projektu</w:t>
            </w:r>
            <w:r w:rsidR="0014725C">
              <w:rPr>
                <w:rFonts w:cs="Calibri"/>
                <w:b/>
                <w:sz w:val="20"/>
                <w:szCs w:val="20"/>
              </w:rPr>
              <w:t>, zejména</w:t>
            </w:r>
            <w:r w:rsidRPr="0045389D">
              <w:rPr>
                <w:rFonts w:cs="Calibri"/>
                <w:b/>
                <w:sz w:val="20"/>
                <w:szCs w:val="20"/>
              </w:rPr>
              <w:t xml:space="preserve"> OP</w:t>
            </w:r>
            <w:r w:rsidR="0014725C">
              <w:rPr>
                <w:rFonts w:cs="Calibri"/>
                <w:b/>
                <w:sz w:val="20"/>
                <w:szCs w:val="20"/>
              </w:rPr>
              <w:t> </w:t>
            </w:r>
            <w:r w:rsidRPr="0045389D">
              <w:rPr>
                <w:rFonts w:cs="Calibri"/>
                <w:b/>
                <w:sz w:val="20"/>
                <w:szCs w:val="20"/>
              </w:rPr>
              <w:t>JAK</w:t>
            </w:r>
          </w:p>
        </w:tc>
        <w:tc>
          <w:tcPr>
            <w:tcW w:w="1135" w:type="dxa"/>
            <w:vAlign w:val="center"/>
          </w:tcPr>
          <w:p w14:paraId="07492AED" w14:textId="72C90D47" w:rsidR="0045389D" w:rsidRPr="0045389D" w:rsidRDefault="0045389D" w:rsidP="0045389D">
            <w:pPr>
              <w:tabs>
                <w:tab w:val="clear" w:pos="5790"/>
              </w:tabs>
              <w:spacing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5389D">
              <w:rPr>
                <w:rFonts w:cs="Calibri"/>
                <w:b/>
                <w:sz w:val="20"/>
                <w:szCs w:val="20"/>
              </w:rPr>
              <w:t>Datum dosažení výstupu</w:t>
            </w:r>
          </w:p>
        </w:tc>
        <w:tc>
          <w:tcPr>
            <w:tcW w:w="994" w:type="dxa"/>
            <w:vAlign w:val="center"/>
          </w:tcPr>
          <w:p w14:paraId="4AC72D43" w14:textId="6B1FFA72" w:rsidR="0045389D" w:rsidRPr="0045389D" w:rsidRDefault="0045389D" w:rsidP="0045389D">
            <w:pPr>
              <w:tabs>
                <w:tab w:val="clear" w:pos="5790"/>
              </w:tabs>
              <w:spacing w:before="0"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5389D">
              <w:rPr>
                <w:rFonts w:cs="Calibri"/>
                <w:b/>
                <w:sz w:val="20"/>
                <w:szCs w:val="20"/>
              </w:rPr>
              <w:t>Klíčová aktivita</w:t>
            </w:r>
          </w:p>
        </w:tc>
      </w:tr>
      <w:tr w:rsidR="0045389D" w14:paraId="3A5C3102" w14:textId="77777777" w:rsidTr="00FA3939">
        <w:trPr>
          <w:trHeight w:val="317"/>
        </w:trPr>
        <w:tc>
          <w:tcPr>
            <w:tcW w:w="2688" w:type="dxa"/>
          </w:tcPr>
          <w:p w14:paraId="70EE9226" w14:textId="77777777" w:rsidR="0045389D" w:rsidRPr="00006E2F" w:rsidRDefault="0045389D" w:rsidP="005D143F">
            <w:pPr>
              <w:spacing w:before="60" w:after="60"/>
              <w:ind w:left="133"/>
              <w:jc w:val="left"/>
              <w:rPr>
                <w:rFonts w:cs="Calibri"/>
                <w:sz w:val="20"/>
                <w:szCs w:val="20"/>
                <w:highlight w:val="lightGray"/>
              </w:rPr>
            </w:pP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2409" w:type="dxa"/>
          </w:tcPr>
          <w:p w14:paraId="6D27D2F9" w14:textId="4985C966" w:rsidR="0045389D" w:rsidRPr="00006E2F" w:rsidRDefault="0045389D" w:rsidP="005D143F">
            <w:pPr>
              <w:spacing w:before="60" w:after="60"/>
              <w:ind w:left="133"/>
              <w:jc w:val="left"/>
              <w:rPr>
                <w:rFonts w:cs="Calibri"/>
                <w:sz w:val="20"/>
                <w:szCs w:val="20"/>
                <w:highlight w:val="lightGray"/>
              </w:rPr>
            </w:pP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843" w:type="dxa"/>
          </w:tcPr>
          <w:p w14:paraId="19AC48CA" w14:textId="36200FB3" w:rsidR="0045389D" w:rsidRPr="0045389D" w:rsidRDefault="0045389D" w:rsidP="0045389D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>ANO/NE – projekt …</w:t>
            </w:r>
          </w:p>
        </w:tc>
        <w:tc>
          <w:tcPr>
            <w:tcW w:w="1135" w:type="dxa"/>
          </w:tcPr>
          <w:p w14:paraId="5A1892B7" w14:textId="1CAFFCB5" w:rsidR="0045389D" w:rsidRPr="0045389D" w:rsidRDefault="0045389D" w:rsidP="0045389D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>dd.mm.rrrr</w:t>
            </w:r>
          </w:p>
        </w:tc>
        <w:tc>
          <w:tcPr>
            <w:tcW w:w="994" w:type="dxa"/>
          </w:tcPr>
          <w:p w14:paraId="2BD58BAD" w14:textId="3D434E1D" w:rsidR="0045389D" w:rsidRPr="0045389D" w:rsidRDefault="0045389D" w:rsidP="0045389D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 xml:space="preserve">KA </w:t>
            </w: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</w:tr>
      <w:tr w:rsidR="0045389D" w14:paraId="4E4DB16A" w14:textId="77777777" w:rsidTr="00FA3939">
        <w:trPr>
          <w:trHeight w:val="317"/>
        </w:trPr>
        <w:tc>
          <w:tcPr>
            <w:tcW w:w="2688" w:type="dxa"/>
          </w:tcPr>
          <w:p w14:paraId="4A54CFD4" w14:textId="77777777" w:rsidR="0045389D" w:rsidRPr="00006E2F" w:rsidRDefault="0045389D" w:rsidP="005D143F">
            <w:pPr>
              <w:spacing w:before="60" w:after="60"/>
              <w:ind w:left="133"/>
              <w:jc w:val="left"/>
              <w:rPr>
                <w:rFonts w:cs="Calibri"/>
                <w:sz w:val="20"/>
                <w:szCs w:val="20"/>
                <w:highlight w:val="lightGray"/>
              </w:rPr>
            </w:pPr>
            <w:r w:rsidRPr="00006E2F">
              <w:rPr>
                <w:rFonts w:cs="Calibri"/>
                <w:sz w:val="20"/>
                <w:szCs w:val="20"/>
                <w:highlight w:val="lightGray"/>
              </w:rPr>
              <w:lastRenderedPageBreak/>
              <w:t>…</w:t>
            </w:r>
          </w:p>
        </w:tc>
        <w:tc>
          <w:tcPr>
            <w:tcW w:w="2409" w:type="dxa"/>
          </w:tcPr>
          <w:p w14:paraId="52200A3D" w14:textId="7013D747" w:rsidR="0045389D" w:rsidRPr="00006E2F" w:rsidRDefault="0045389D" w:rsidP="005D143F">
            <w:pPr>
              <w:spacing w:before="60" w:after="60"/>
              <w:ind w:left="133"/>
              <w:jc w:val="left"/>
              <w:rPr>
                <w:rFonts w:cs="Calibri"/>
                <w:sz w:val="20"/>
                <w:szCs w:val="20"/>
                <w:highlight w:val="lightGray"/>
              </w:rPr>
            </w:pP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843" w:type="dxa"/>
          </w:tcPr>
          <w:p w14:paraId="1A7DDAD5" w14:textId="771157D6" w:rsidR="0045389D" w:rsidRPr="0045389D" w:rsidRDefault="0045389D" w:rsidP="0045389D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 xml:space="preserve">ANO/NE – projekt </w:t>
            </w: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135" w:type="dxa"/>
          </w:tcPr>
          <w:p w14:paraId="5BF13DDD" w14:textId="584D3ACE" w:rsidR="0045389D" w:rsidRPr="0045389D" w:rsidRDefault="0045389D" w:rsidP="0045389D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>dd.mm.rrrr</w:t>
            </w:r>
          </w:p>
        </w:tc>
        <w:tc>
          <w:tcPr>
            <w:tcW w:w="994" w:type="dxa"/>
          </w:tcPr>
          <w:p w14:paraId="3235A026" w14:textId="71762187" w:rsidR="0045389D" w:rsidRPr="0045389D" w:rsidRDefault="0045389D" w:rsidP="0045389D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 xml:space="preserve">KA </w:t>
            </w: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</w:tr>
      <w:tr w:rsidR="0045389D" w14:paraId="0B4D9AD2" w14:textId="77777777" w:rsidTr="00FA3939">
        <w:trPr>
          <w:trHeight w:val="317"/>
        </w:trPr>
        <w:tc>
          <w:tcPr>
            <w:tcW w:w="2688" w:type="dxa"/>
          </w:tcPr>
          <w:p w14:paraId="45420646" w14:textId="77777777" w:rsidR="0045389D" w:rsidRPr="00006E2F" w:rsidRDefault="0045389D" w:rsidP="005D143F">
            <w:pPr>
              <w:spacing w:before="60" w:after="60"/>
              <w:ind w:left="133"/>
              <w:jc w:val="left"/>
              <w:rPr>
                <w:rFonts w:cs="Calibri"/>
                <w:sz w:val="20"/>
                <w:szCs w:val="20"/>
                <w:highlight w:val="lightGray"/>
              </w:rPr>
            </w:pP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2409" w:type="dxa"/>
          </w:tcPr>
          <w:p w14:paraId="1CD1FC02" w14:textId="69646327" w:rsidR="0045389D" w:rsidRPr="00006E2F" w:rsidRDefault="0045389D" w:rsidP="005D143F">
            <w:pPr>
              <w:spacing w:before="60" w:after="60"/>
              <w:ind w:left="133"/>
              <w:jc w:val="left"/>
              <w:rPr>
                <w:rFonts w:cs="Calibri"/>
                <w:sz w:val="20"/>
                <w:szCs w:val="20"/>
                <w:highlight w:val="lightGray"/>
              </w:rPr>
            </w:pP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843" w:type="dxa"/>
          </w:tcPr>
          <w:p w14:paraId="655F4804" w14:textId="6F63A3F3" w:rsidR="0045389D" w:rsidRPr="0045389D" w:rsidRDefault="0045389D" w:rsidP="0045389D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 xml:space="preserve">ANO/NE – projekt </w:t>
            </w: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135" w:type="dxa"/>
          </w:tcPr>
          <w:p w14:paraId="44FC4C36" w14:textId="25D5D910" w:rsidR="0045389D" w:rsidRPr="0045389D" w:rsidRDefault="0045389D" w:rsidP="0045389D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>dd.mm.rrrr</w:t>
            </w:r>
          </w:p>
        </w:tc>
        <w:tc>
          <w:tcPr>
            <w:tcW w:w="994" w:type="dxa"/>
          </w:tcPr>
          <w:p w14:paraId="3EBD9D70" w14:textId="39A9DFD2" w:rsidR="0045389D" w:rsidRPr="0045389D" w:rsidRDefault="0045389D" w:rsidP="0045389D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 xml:space="preserve">KA </w:t>
            </w: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</w:tr>
      <w:tr w:rsidR="0045389D" w14:paraId="76DB39C3" w14:textId="77777777" w:rsidTr="00FA3939">
        <w:trPr>
          <w:trHeight w:val="317"/>
        </w:trPr>
        <w:tc>
          <w:tcPr>
            <w:tcW w:w="2688" w:type="dxa"/>
          </w:tcPr>
          <w:p w14:paraId="3B242DB5" w14:textId="77777777" w:rsidR="0045389D" w:rsidRPr="00006E2F" w:rsidRDefault="0045389D" w:rsidP="005D143F">
            <w:pPr>
              <w:spacing w:before="60" w:after="60"/>
              <w:ind w:left="133"/>
              <w:jc w:val="left"/>
              <w:rPr>
                <w:rFonts w:cs="Calibri"/>
                <w:sz w:val="20"/>
                <w:szCs w:val="20"/>
                <w:highlight w:val="lightGray"/>
              </w:rPr>
            </w:pP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2409" w:type="dxa"/>
          </w:tcPr>
          <w:p w14:paraId="0040F89A" w14:textId="0597BB32" w:rsidR="0045389D" w:rsidRPr="00006E2F" w:rsidRDefault="0045389D" w:rsidP="005D143F">
            <w:pPr>
              <w:spacing w:before="60" w:after="60"/>
              <w:ind w:left="133"/>
              <w:jc w:val="left"/>
              <w:rPr>
                <w:rFonts w:cs="Calibri"/>
                <w:sz w:val="20"/>
                <w:szCs w:val="20"/>
                <w:highlight w:val="lightGray"/>
              </w:rPr>
            </w:pP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843" w:type="dxa"/>
          </w:tcPr>
          <w:p w14:paraId="3AFBF6D9" w14:textId="5C95A12E" w:rsidR="0045389D" w:rsidRPr="0045389D" w:rsidRDefault="0045389D" w:rsidP="005D143F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 xml:space="preserve">ANO/NE – projekt </w:t>
            </w: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  <w:tc>
          <w:tcPr>
            <w:tcW w:w="1135" w:type="dxa"/>
          </w:tcPr>
          <w:p w14:paraId="3071F8BB" w14:textId="17F507B1" w:rsidR="0045389D" w:rsidRPr="0045389D" w:rsidRDefault="0045389D" w:rsidP="005D143F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>dd.mm.rrrr</w:t>
            </w:r>
          </w:p>
        </w:tc>
        <w:tc>
          <w:tcPr>
            <w:tcW w:w="994" w:type="dxa"/>
          </w:tcPr>
          <w:p w14:paraId="578DD2C2" w14:textId="7F56651D" w:rsidR="0045389D" w:rsidRPr="0045389D" w:rsidRDefault="0045389D" w:rsidP="005D143F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45389D">
              <w:rPr>
                <w:rFonts w:cs="Calibri"/>
                <w:sz w:val="20"/>
                <w:szCs w:val="20"/>
              </w:rPr>
              <w:t xml:space="preserve">KA </w:t>
            </w:r>
            <w:r w:rsidRPr="00006E2F">
              <w:rPr>
                <w:rFonts w:cs="Calibri"/>
                <w:sz w:val="20"/>
                <w:szCs w:val="20"/>
                <w:highlight w:val="lightGray"/>
              </w:rPr>
              <w:t>…</w:t>
            </w:r>
          </w:p>
        </w:tc>
      </w:tr>
    </w:tbl>
    <w:p w14:paraId="224FF997" w14:textId="13A08BE6" w:rsidR="00F305B8" w:rsidRPr="00BD4751" w:rsidRDefault="00F305B8" w:rsidP="006C4554">
      <w:pPr>
        <w:pStyle w:val="Nadpis2"/>
        <w:numPr>
          <w:ilvl w:val="0"/>
          <w:numId w:val="6"/>
        </w:numPr>
        <w:tabs>
          <w:tab w:val="clear" w:pos="5790"/>
        </w:tabs>
      </w:pPr>
      <w:r w:rsidRPr="00BD4751">
        <w:t>Indikátory</w:t>
      </w:r>
      <w:r w:rsidRPr="00C32C5B">
        <w:rPr>
          <w:vertAlign w:val="superscript"/>
        </w:rPr>
        <w:footnoteReference w:id="6"/>
      </w:r>
    </w:p>
    <w:p w14:paraId="7126D012" w14:textId="77777777" w:rsidR="00F305B8" w:rsidRPr="00770443" w:rsidRDefault="00F305B8" w:rsidP="00F305B8">
      <w:pPr>
        <w:rPr>
          <w:rFonts w:cs="Calibri"/>
          <w:b/>
        </w:rPr>
      </w:pPr>
      <w:r w:rsidRPr="00770443">
        <w:rPr>
          <w:rFonts w:cs="Calibri"/>
          <w:b/>
        </w:rPr>
        <w:t>Indikátory povinné k naplnění</w:t>
      </w:r>
    </w:p>
    <w:p w14:paraId="50A43CE7" w14:textId="77777777" w:rsidR="00CB0972" w:rsidRDefault="00CB0972" w:rsidP="00CB0972">
      <w:pPr>
        <w:rPr>
          <w:rFonts w:cs="Calibri"/>
        </w:rPr>
      </w:pPr>
      <w:r w:rsidRPr="00770443">
        <w:rPr>
          <w:rFonts w:cs="Calibri"/>
        </w:rPr>
        <w:t>Navýšení cílové hodnoty indikátoru je příjemce povinen provádět formou změnového řízení dle PpŽP – obecná část (nepodstatná změna).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268"/>
        <w:gridCol w:w="1268"/>
      </w:tblGrid>
      <w:tr w:rsidR="00F305B8" w:rsidRPr="00770443" w14:paraId="6E61D865" w14:textId="77777777" w:rsidTr="008F0E5F">
        <w:tc>
          <w:tcPr>
            <w:tcW w:w="1413" w:type="dxa"/>
            <w:vAlign w:val="center"/>
          </w:tcPr>
          <w:p w14:paraId="6F1CC495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Kód indikátoru</w:t>
            </w:r>
          </w:p>
        </w:tc>
        <w:tc>
          <w:tcPr>
            <w:tcW w:w="2693" w:type="dxa"/>
            <w:vAlign w:val="center"/>
          </w:tcPr>
          <w:p w14:paraId="3DAE773F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Název</w:t>
            </w:r>
          </w:p>
        </w:tc>
        <w:tc>
          <w:tcPr>
            <w:tcW w:w="1418" w:type="dxa"/>
            <w:vAlign w:val="center"/>
          </w:tcPr>
          <w:p w14:paraId="6921941C" w14:textId="77777777" w:rsidR="00F305B8" w:rsidRPr="00770443" w:rsidRDefault="00F305B8" w:rsidP="007C65D2">
            <w:pPr>
              <w:pStyle w:val="Tabulkazhlav"/>
              <w:keepNext/>
              <w:spacing w:after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Měrná</w:t>
            </w:r>
          </w:p>
          <w:p w14:paraId="483BE969" w14:textId="77777777" w:rsidR="00F305B8" w:rsidRPr="00770443" w:rsidRDefault="00F305B8" w:rsidP="007C65D2">
            <w:pPr>
              <w:pStyle w:val="Tabulkazhlav"/>
              <w:keepNext/>
              <w:spacing w:before="0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jednotka</w:t>
            </w:r>
          </w:p>
        </w:tc>
        <w:tc>
          <w:tcPr>
            <w:tcW w:w="2268" w:type="dxa"/>
            <w:vAlign w:val="center"/>
          </w:tcPr>
          <w:p w14:paraId="3D7648EC" w14:textId="7F563E7C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Typ indikátoru</w:t>
            </w:r>
            <w:r w:rsidR="00380CA9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  <w:vAlign w:val="center"/>
          </w:tcPr>
          <w:p w14:paraId="7DD84F29" w14:textId="77777777" w:rsidR="00F305B8" w:rsidRPr="00770443" w:rsidRDefault="00F305B8" w:rsidP="008F0E5F">
            <w:pPr>
              <w:pStyle w:val="Tabulkazhlav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</w:rPr>
              <w:t>Cílová hodnota</w:t>
            </w:r>
          </w:p>
        </w:tc>
      </w:tr>
      <w:tr w:rsidR="00F305B8" w:rsidRPr="00770443" w14:paraId="5F4C8D94" w14:textId="77777777" w:rsidTr="008F0E5F">
        <w:tc>
          <w:tcPr>
            <w:tcW w:w="1413" w:type="dxa"/>
          </w:tcPr>
          <w:p w14:paraId="3AB78850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2DF53503" w14:textId="77777777" w:rsidR="00F305B8" w:rsidRPr="00770443" w:rsidRDefault="00F305B8" w:rsidP="008F0E5F">
            <w:pPr>
              <w:pStyle w:val="Tabulkatext"/>
              <w:keepNext/>
              <w:tabs>
                <w:tab w:val="left" w:pos="1232"/>
              </w:tabs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32FF86A9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FDDE1AE" w14:textId="5C20C6FF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  <w:r w:rsidR="00380CA9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4E279359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449D77C6" w14:textId="77777777" w:rsidTr="008F0E5F">
        <w:tc>
          <w:tcPr>
            <w:tcW w:w="1413" w:type="dxa"/>
          </w:tcPr>
          <w:p w14:paraId="16E05536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731C86B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0BE27582" w14:textId="77777777" w:rsidR="00F305B8" w:rsidRPr="00770443" w:rsidRDefault="00F305B8" w:rsidP="008F0E5F">
            <w:pPr>
              <w:pStyle w:val="Tabulkatext"/>
              <w:keepNext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09C2BE64" w14:textId="46301DB3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  <w:r w:rsidR="00380CA9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0F0EC4B8" w14:textId="77777777" w:rsidR="00F305B8" w:rsidRPr="00770443" w:rsidRDefault="00F305B8" w:rsidP="008F0E5F">
            <w:pPr>
              <w:pStyle w:val="Tabulkatext"/>
              <w:keepNext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  <w:tr w:rsidR="00F305B8" w:rsidRPr="00770443" w14:paraId="5E71F4DF" w14:textId="77777777" w:rsidTr="008F0E5F">
        <w:tc>
          <w:tcPr>
            <w:tcW w:w="1413" w:type="dxa"/>
          </w:tcPr>
          <w:p w14:paraId="6808B1DB" w14:textId="77777777" w:rsidR="00F305B8" w:rsidRPr="00770443" w:rsidRDefault="00F305B8" w:rsidP="008F0E5F">
            <w:pPr>
              <w:pStyle w:val="Tabulkatext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693" w:type="dxa"/>
          </w:tcPr>
          <w:p w14:paraId="309C10FA" w14:textId="77777777" w:rsidR="00F305B8" w:rsidRPr="00770443" w:rsidRDefault="00F305B8" w:rsidP="008F0E5F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1418" w:type="dxa"/>
          </w:tcPr>
          <w:p w14:paraId="6E44084E" w14:textId="77777777" w:rsidR="00F305B8" w:rsidRPr="00770443" w:rsidRDefault="00F305B8" w:rsidP="008F0E5F">
            <w:pPr>
              <w:pStyle w:val="Tabulkatext"/>
              <w:rPr>
                <w:rFonts w:ascii="Calibri" w:hAnsi="Calibri" w:cs="Calibri"/>
                <w:color w:val="auto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  <w:tc>
          <w:tcPr>
            <w:tcW w:w="2268" w:type="dxa"/>
          </w:tcPr>
          <w:p w14:paraId="42FF8F19" w14:textId="0D8C6586" w:rsidR="00F305B8" w:rsidRPr="00770443" w:rsidRDefault="00F305B8" w:rsidP="008F0E5F">
            <w:pPr>
              <w:pStyle w:val="Tabulkatext"/>
              <w:jc w:val="center"/>
              <w:rPr>
                <w:rFonts w:ascii="Calibri" w:hAnsi="Calibri" w:cs="Calibri"/>
                <w:sz w:val="22"/>
                <w:vertAlign w:val="superscript"/>
              </w:rPr>
            </w:pPr>
            <w:r w:rsidRPr="00770443">
              <w:rPr>
                <w:rFonts w:ascii="Calibri" w:hAnsi="Calibri" w:cs="Calibri"/>
                <w:sz w:val="22"/>
              </w:rPr>
              <w:t>výstup/výsledek</w:t>
            </w:r>
            <w:r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  <w:r w:rsidR="00380CA9" w:rsidRPr="00770443">
              <w:rPr>
                <w:rFonts w:ascii="Calibri" w:hAnsi="Calibri" w:cs="Calibri"/>
                <w:sz w:val="22"/>
                <w:vertAlign w:val="superscript"/>
              </w:rPr>
              <w:t>*</w:t>
            </w:r>
          </w:p>
        </w:tc>
        <w:tc>
          <w:tcPr>
            <w:tcW w:w="1268" w:type="dxa"/>
          </w:tcPr>
          <w:p w14:paraId="6121882C" w14:textId="77777777" w:rsidR="00F305B8" w:rsidRPr="00770443" w:rsidRDefault="00F305B8" w:rsidP="008F0E5F">
            <w:pPr>
              <w:pStyle w:val="Tabulkatext"/>
              <w:jc w:val="center"/>
              <w:rPr>
                <w:rFonts w:ascii="Calibri" w:hAnsi="Calibri" w:cs="Calibri"/>
                <w:sz w:val="22"/>
              </w:rPr>
            </w:pPr>
            <w:r w:rsidRPr="00770443">
              <w:rPr>
                <w:rFonts w:ascii="Calibri" w:hAnsi="Calibri" w:cs="Calibri"/>
                <w:sz w:val="22"/>
                <w:highlight w:val="lightGray"/>
              </w:rPr>
              <w:t>…</w:t>
            </w:r>
          </w:p>
        </w:tc>
      </w:tr>
    </w:tbl>
    <w:p w14:paraId="3828C613" w14:textId="0A168FFF" w:rsidR="00380CA9" w:rsidRPr="003862B9" w:rsidRDefault="00380CA9" w:rsidP="00380CA9">
      <w:pPr>
        <w:spacing w:after="0"/>
        <w:rPr>
          <w:rFonts w:cs="Calibri"/>
          <w:i/>
          <w:iCs/>
        </w:rPr>
      </w:pPr>
      <w:r>
        <w:rPr>
          <w:rFonts w:cs="Calibri"/>
          <w:vertAlign w:val="superscript"/>
        </w:rPr>
        <w:t xml:space="preserve">*) </w:t>
      </w:r>
      <w:r>
        <w:rPr>
          <w:rFonts w:cs="Calibri"/>
        </w:rPr>
        <w:t>Indikátor</w:t>
      </w:r>
      <w:r>
        <w:rPr>
          <w:rFonts w:cs="Calibri"/>
          <w:i/>
          <w:iCs/>
        </w:rPr>
        <w:t xml:space="preserve"> </w:t>
      </w:r>
      <w:r w:rsidRPr="003862B9">
        <w:rPr>
          <w:rFonts w:cs="Calibri"/>
        </w:rPr>
        <w:t>21</w:t>
      </w:r>
      <w:r>
        <w:rPr>
          <w:rFonts w:cs="Calibri"/>
        </w:rPr>
        <w:t>5</w:t>
      </w:r>
      <w:r w:rsidRPr="003862B9">
        <w:rPr>
          <w:rFonts w:cs="Calibri"/>
        </w:rPr>
        <w:t> </w:t>
      </w:r>
      <w:r>
        <w:rPr>
          <w:rFonts w:cs="Calibri"/>
        </w:rPr>
        <w:t>102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>je příjemce oprávněn vykázat nejpozději v 1. zprávě o udržitelnosti</w:t>
      </w:r>
      <w:r>
        <w:rPr>
          <w:rFonts w:cs="Calibri"/>
          <w:i/>
          <w:iCs/>
        </w:rPr>
        <w:t>.</w:t>
      </w:r>
    </w:p>
    <w:p w14:paraId="0F43932F" w14:textId="77777777" w:rsidR="00380CA9" w:rsidRDefault="00380CA9" w:rsidP="00380CA9">
      <w:pPr>
        <w:spacing w:after="0"/>
        <w:rPr>
          <w:rFonts w:cs="Calibri"/>
          <w:i/>
          <w:iCs/>
        </w:rPr>
      </w:pPr>
      <w:r>
        <w:rPr>
          <w:rFonts w:cs="Calibri"/>
          <w:i/>
          <w:vertAlign w:val="superscript"/>
        </w:rPr>
        <w:t>*</w:t>
      </w:r>
      <w:r w:rsidRPr="00A411A7">
        <w:rPr>
          <w:rFonts w:cs="Calibri"/>
          <w:i/>
          <w:vertAlign w:val="superscript"/>
        </w:rPr>
        <w:t>*)</w:t>
      </w:r>
      <w:r>
        <w:rPr>
          <w:rFonts w:cs="Calibri"/>
          <w:i/>
          <w:vertAlign w:val="superscript"/>
        </w:rPr>
        <w:t xml:space="preserve"> </w:t>
      </w:r>
      <w:r w:rsidRPr="00770443">
        <w:rPr>
          <w:rFonts w:cs="Calibri"/>
          <w:i/>
        </w:rPr>
        <w:t>Nehodící se bude odstraněno</w:t>
      </w:r>
      <w:r>
        <w:rPr>
          <w:rFonts w:cs="Calibri"/>
          <w:i/>
        </w:rPr>
        <w:t>.</w:t>
      </w:r>
    </w:p>
    <w:p w14:paraId="7535DA51" w14:textId="77777777" w:rsidR="00F305B8" w:rsidRPr="00BD4751" w:rsidRDefault="00F305B8" w:rsidP="00BD4751">
      <w:pPr>
        <w:pStyle w:val="Nadpis2"/>
        <w:numPr>
          <w:ilvl w:val="0"/>
          <w:numId w:val="6"/>
        </w:numPr>
        <w:tabs>
          <w:tab w:val="clear" w:pos="5790"/>
        </w:tabs>
        <w:ind w:firstLine="0"/>
      </w:pPr>
      <w:r w:rsidRPr="00BD4751">
        <w:t>Rozpočet</w:t>
      </w:r>
      <w:r w:rsidRPr="00BD4751">
        <w:rPr>
          <w:vertAlign w:val="superscript"/>
        </w:rPr>
        <w:footnoteReference w:id="7"/>
      </w:r>
    </w:p>
    <w:p w14:paraId="21DB4AE7" w14:textId="77777777" w:rsidR="000268C3" w:rsidRDefault="000268C3" w:rsidP="000268C3">
      <w:pPr>
        <w:rPr>
          <w:rFonts w:eastAsia="Times New Roman"/>
        </w:rPr>
      </w:pPr>
      <w:r w:rsidRPr="000F3699">
        <w:rPr>
          <w:rFonts w:eastAsia="Times New Roman"/>
        </w:rPr>
        <w:t>Změny rozpočtu nad rámec +/- 15 % na úrovni každé kapitoly označené zatržítkem ve sloupci „***“ v níže uvedené tabulce podléhají změně s dopadem do právního aktu.</w:t>
      </w:r>
    </w:p>
    <w:p w14:paraId="2E0549B7" w14:textId="25177A4A" w:rsidR="00F305B8" w:rsidRPr="00FC7D8E" w:rsidRDefault="000268C3" w:rsidP="00FC7D8E">
      <w:pPr>
        <w:rPr>
          <w:rFonts w:cs="Calibri"/>
        </w:rPr>
      </w:pPr>
      <w:r>
        <w:rPr>
          <w:rFonts w:cs="Calibri"/>
        </w:rPr>
        <w:t>Přesun mezi investičními a neinvestičními prostředky</w:t>
      </w:r>
      <w:r>
        <w:rPr>
          <w:rFonts w:eastAsia="Times New Roman"/>
        </w:rPr>
        <w:t xml:space="preserve"> podléhá změně s dopadem do právního aktu vždy</w:t>
      </w:r>
      <w:r w:rsidR="00F3518B">
        <w:rPr>
          <w:rFonts w:eastAsia="Times New Roman"/>
        </w:rPr>
        <w:t>.</w:t>
      </w:r>
    </w:p>
    <w:p w14:paraId="170B8301" w14:textId="77777777" w:rsidR="000268C3" w:rsidRPr="00C60A28" w:rsidRDefault="000268C3" w:rsidP="000268C3">
      <w:pPr>
        <w:keepNext/>
      </w:pPr>
      <w:r>
        <w:rPr>
          <w:rFonts w:cs="Calibri"/>
          <w:i/>
        </w:rPr>
        <w:t>Rozpočet je uváděn ve zkrácené verzi v této struktuře, s údaji převedenými z žádosti o podporu.</w:t>
      </w:r>
    </w:p>
    <w:tbl>
      <w:tblPr>
        <w:tblStyle w:val="Mkatabulky"/>
        <w:tblW w:w="4926" w:type="pct"/>
        <w:tblLook w:val="04A0" w:firstRow="1" w:lastRow="0" w:firstColumn="1" w:lastColumn="0" w:noHBand="0" w:noVBand="1"/>
      </w:tblPr>
      <w:tblGrid>
        <w:gridCol w:w="1238"/>
        <w:gridCol w:w="4994"/>
        <w:gridCol w:w="1985"/>
        <w:gridCol w:w="709"/>
      </w:tblGrid>
      <w:tr w:rsidR="00645E55" w:rsidRPr="00770443" w14:paraId="5D2511F2" w14:textId="061E48BE" w:rsidTr="00FA3939">
        <w:tc>
          <w:tcPr>
            <w:tcW w:w="1238" w:type="dxa"/>
          </w:tcPr>
          <w:p w14:paraId="301DB2E4" w14:textId="71337F5B" w:rsidR="00645E55" w:rsidRPr="005D06CA" w:rsidRDefault="00645E55" w:rsidP="00645E55">
            <w:pPr>
              <w:pStyle w:val="Tabulkazhlav"/>
              <w:widowControl w:val="0"/>
              <w:rPr>
                <w:rFonts w:cstheme="minorHAnsi"/>
                <w:sz w:val="22"/>
              </w:rPr>
            </w:pPr>
            <w:r w:rsidRPr="005D06CA">
              <w:rPr>
                <w:rFonts w:cstheme="minorHAnsi"/>
                <w:sz w:val="22"/>
              </w:rPr>
              <w:t xml:space="preserve">Kód </w:t>
            </w:r>
          </w:p>
        </w:tc>
        <w:tc>
          <w:tcPr>
            <w:tcW w:w="4994" w:type="dxa"/>
          </w:tcPr>
          <w:p w14:paraId="7E64B196" w14:textId="0C8CE818" w:rsidR="00645E55" w:rsidRPr="005D06CA" w:rsidRDefault="00645E55" w:rsidP="00645E55">
            <w:pPr>
              <w:pStyle w:val="Tabulkazhlav"/>
              <w:widowControl w:val="0"/>
              <w:rPr>
                <w:rFonts w:cstheme="minorHAnsi"/>
                <w:color w:val="auto"/>
                <w:sz w:val="22"/>
              </w:rPr>
            </w:pPr>
            <w:r w:rsidRPr="005D06CA">
              <w:rPr>
                <w:rFonts w:cstheme="minorHAnsi"/>
                <w:color w:val="auto"/>
                <w:sz w:val="22"/>
              </w:rPr>
              <w:t xml:space="preserve">Název </w:t>
            </w:r>
          </w:p>
        </w:tc>
        <w:tc>
          <w:tcPr>
            <w:tcW w:w="1985" w:type="dxa"/>
          </w:tcPr>
          <w:p w14:paraId="77FDC2BF" w14:textId="55B92DC2" w:rsidR="00645E55" w:rsidRPr="005D06CA" w:rsidRDefault="00645E55" w:rsidP="00645E55">
            <w:pPr>
              <w:pStyle w:val="Tabulkazhlav"/>
              <w:widowControl w:val="0"/>
              <w:rPr>
                <w:rFonts w:cstheme="minorHAnsi"/>
                <w:color w:val="auto"/>
                <w:sz w:val="22"/>
              </w:rPr>
            </w:pPr>
            <w:r w:rsidRPr="005D06CA">
              <w:rPr>
                <w:rFonts w:cstheme="minorHAnsi"/>
                <w:bCs/>
                <w:color w:val="auto"/>
                <w:sz w:val="22"/>
              </w:rPr>
              <w:t>Částka v Kč</w:t>
            </w:r>
          </w:p>
        </w:tc>
        <w:tc>
          <w:tcPr>
            <w:tcW w:w="709" w:type="dxa"/>
            <w:vAlign w:val="center"/>
          </w:tcPr>
          <w:p w14:paraId="52D9600A" w14:textId="7444E1CF" w:rsidR="00645E55" w:rsidRPr="005D06CA" w:rsidRDefault="00645E55" w:rsidP="00FA3939">
            <w:pPr>
              <w:pStyle w:val="Tabulkazhlav"/>
              <w:widowControl w:val="0"/>
              <w:jc w:val="center"/>
              <w:rPr>
                <w:rFonts w:cstheme="minorHAnsi"/>
                <w:bCs/>
                <w:color w:val="auto"/>
                <w:sz w:val="22"/>
              </w:rPr>
            </w:pPr>
            <w:r w:rsidRPr="007F3D5D">
              <w:rPr>
                <w:rFonts w:eastAsia="Times New Roman" w:cstheme="minorHAnsi"/>
                <w:bCs/>
                <w:lang w:eastAsia="cs-CZ"/>
              </w:rPr>
              <w:t>***</w:t>
            </w:r>
          </w:p>
        </w:tc>
      </w:tr>
      <w:tr w:rsidR="00645E55" w:rsidRPr="00770443" w14:paraId="1E80749E" w14:textId="5FD82166" w:rsidTr="00FA3939">
        <w:tc>
          <w:tcPr>
            <w:tcW w:w="1238" w:type="dxa"/>
          </w:tcPr>
          <w:p w14:paraId="722E54CA" w14:textId="16E4F3DD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1.1</w:t>
            </w:r>
          </w:p>
        </w:tc>
        <w:tc>
          <w:tcPr>
            <w:tcW w:w="4994" w:type="dxa"/>
          </w:tcPr>
          <w:p w14:paraId="7677CE74" w14:textId="18436864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Celkové způsobilé výdaje</w:t>
            </w:r>
          </w:p>
        </w:tc>
        <w:tc>
          <w:tcPr>
            <w:tcW w:w="1985" w:type="dxa"/>
          </w:tcPr>
          <w:p w14:paraId="6D3828C1" w14:textId="6D0882E4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18639E6" w14:textId="1197BCC9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</w:rPr>
            </w:pPr>
          </w:p>
        </w:tc>
      </w:tr>
      <w:tr w:rsidR="00645E55" w:rsidRPr="00770443" w14:paraId="1E6F8982" w14:textId="24E684F0" w:rsidTr="00FA3939">
        <w:tc>
          <w:tcPr>
            <w:tcW w:w="1238" w:type="dxa"/>
          </w:tcPr>
          <w:p w14:paraId="410698A8" w14:textId="63DEA073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</w:t>
            </w:r>
          </w:p>
        </w:tc>
        <w:tc>
          <w:tcPr>
            <w:tcW w:w="4994" w:type="dxa"/>
          </w:tcPr>
          <w:p w14:paraId="351B34E8" w14:textId="122FDF2B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Výdaje tvořící základ pro výpočet paušálních nákladů</w:t>
            </w:r>
          </w:p>
        </w:tc>
        <w:tc>
          <w:tcPr>
            <w:tcW w:w="1985" w:type="dxa"/>
          </w:tcPr>
          <w:p w14:paraId="6FC973E2" w14:textId="5191313D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A86A4E2" w14:textId="77777777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</w:rPr>
            </w:pPr>
          </w:p>
        </w:tc>
      </w:tr>
      <w:tr w:rsidR="00645E55" w:rsidRPr="00770443" w14:paraId="6AA4877A" w14:textId="769F25BF" w:rsidTr="00FA3939">
        <w:tc>
          <w:tcPr>
            <w:tcW w:w="1238" w:type="dxa"/>
          </w:tcPr>
          <w:p w14:paraId="37FB02FD" w14:textId="204FC4D4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1.1.1.1</w:t>
            </w:r>
          </w:p>
        </w:tc>
        <w:tc>
          <w:tcPr>
            <w:tcW w:w="4994" w:type="dxa"/>
          </w:tcPr>
          <w:p w14:paraId="33AE77AE" w14:textId="14EA5E3D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b/>
                <w:bCs/>
                <w:sz w:val="22"/>
              </w:rPr>
            </w:pPr>
            <w:r w:rsidRPr="005D06CA">
              <w:rPr>
                <w:rFonts w:cstheme="minorHAnsi"/>
                <w:b/>
                <w:bCs/>
                <w:sz w:val="22"/>
              </w:rPr>
              <w:t>Přímé výdaje</w:t>
            </w:r>
          </w:p>
        </w:tc>
        <w:tc>
          <w:tcPr>
            <w:tcW w:w="1985" w:type="dxa"/>
          </w:tcPr>
          <w:p w14:paraId="47322AE6" w14:textId="7E2E11AD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278111D" w14:textId="77777777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</w:rPr>
            </w:pPr>
          </w:p>
        </w:tc>
      </w:tr>
      <w:tr w:rsidR="00645E55" w:rsidRPr="00770443" w14:paraId="0AB6E9BD" w14:textId="73938BBF" w:rsidTr="00FA3939">
        <w:tc>
          <w:tcPr>
            <w:tcW w:w="1238" w:type="dxa"/>
          </w:tcPr>
          <w:p w14:paraId="569785AE" w14:textId="1ED2C5F6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1.1.1.1.1</w:t>
            </w:r>
          </w:p>
        </w:tc>
        <w:tc>
          <w:tcPr>
            <w:tcW w:w="4994" w:type="dxa"/>
          </w:tcPr>
          <w:p w14:paraId="0DF038CF" w14:textId="10BB3D08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cstheme="minorHAnsi"/>
                <w:b/>
                <w:bCs/>
                <w:sz w:val="22"/>
              </w:rPr>
              <w:t xml:space="preserve">Přímé výdaje </w:t>
            </w:r>
            <w:r w:rsidR="000D43CC">
              <w:rPr>
                <w:rFonts w:cstheme="minorHAnsi"/>
                <w:b/>
                <w:bCs/>
                <w:sz w:val="22"/>
              </w:rPr>
              <w:t>–</w:t>
            </w:r>
            <w:r w:rsidRPr="005D06CA">
              <w:rPr>
                <w:rFonts w:cstheme="minorHAnsi"/>
                <w:b/>
                <w:bCs/>
                <w:sz w:val="22"/>
              </w:rPr>
              <w:t xml:space="preserve"> investiční</w:t>
            </w:r>
          </w:p>
        </w:tc>
        <w:tc>
          <w:tcPr>
            <w:tcW w:w="1985" w:type="dxa"/>
          </w:tcPr>
          <w:p w14:paraId="53C01372" w14:textId="2905EA77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  <w:vAlign w:val="center"/>
          </w:tcPr>
          <w:p w14:paraId="7E651EF6" w14:textId="77777777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</w:p>
        </w:tc>
      </w:tr>
      <w:tr w:rsidR="00645E55" w:rsidRPr="00770443" w14:paraId="41AC964D" w14:textId="29023D70" w:rsidTr="00FA3939">
        <w:tc>
          <w:tcPr>
            <w:tcW w:w="1238" w:type="dxa"/>
          </w:tcPr>
          <w:p w14:paraId="2352370D" w14:textId="15033B2F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1.1.1.1.1.1</w:t>
            </w:r>
          </w:p>
        </w:tc>
        <w:tc>
          <w:tcPr>
            <w:tcW w:w="4994" w:type="dxa"/>
          </w:tcPr>
          <w:p w14:paraId="2416B62E" w14:textId="48C512EF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Dlouhodobý hmotný majetek</w:t>
            </w:r>
          </w:p>
        </w:tc>
        <w:tc>
          <w:tcPr>
            <w:tcW w:w="1985" w:type="dxa"/>
          </w:tcPr>
          <w:p w14:paraId="1657CEFE" w14:textId="4B743E7A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  <w:vAlign w:val="center"/>
          </w:tcPr>
          <w:p w14:paraId="55FBA7B6" w14:textId="77777777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</w:p>
        </w:tc>
      </w:tr>
      <w:tr w:rsidR="00645E55" w:rsidRPr="00770443" w14:paraId="173361A0" w14:textId="26E0EC51" w:rsidTr="00FA3939">
        <w:tc>
          <w:tcPr>
            <w:tcW w:w="1238" w:type="dxa"/>
          </w:tcPr>
          <w:p w14:paraId="150EF260" w14:textId="28C21D7C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1.1.1.1.1.1.1</w:t>
            </w:r>
          </w:p>
        </w:tc>
        <w:tc>
          <w:tcPr>
            <w:tcW w:w="4994" w:type="dxa"/>
          </w:tcPr>
          <w:p w14:paraId="7974FDA6" w14:textId="107DCB22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Budovy a stavby</w:t>
            </w:r>
          </w:p>
        </w:tc>
        <w:tc>
          <w:tcPr>
            <w:tcW w:w="1985" w:type="dxa"/>
          </w:tcPr>
          <w:p w14:paraId="1833D307" w14:textId="44E6A115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1DD6A689" w14:textId="053224CB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3DA1DA36" w14:textId="56A1A73C" w:rsidTr="00FA3939">
        <w:tc>
          <w:tcPr>
            <w:tcW w:w="1238" w:type="dxa"/>
          </w:tcPr>
          <w:p w14:paraId="293505CD" w14:textId="7B689DF6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1.1.1.1.1.1.2</w:t>
            </w:r>
          </w:p>
        </w:tc>
        <w:tc>
          <w:tcPr>
            <w:tcW w:w="4994" w:type="dxa"/>
          </w:tcPr>
          <w:p w14:paraId="722C58AB" w14:textId="2379CA7C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Movité věci</w:t>
            </w:r>
          </w:p>
        </w:tc>
        <w:tc>
          <w:tcPr>
            <w:tcW w:w="1985" w:type="dxa"/>
          </w:tcPr>
          <w:p w14:paraId="2A52981A" w14:textId="1259C4E7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129998F8" w14:textId="558E0067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75E7251F" w14:textId="486A7D35" w:rsidTr="00FA3939">
        <w:tc>
          <w:tcPr>
            <w:tcW w:w="1238" w:type="dxa"/>
          </w:tcPr>
          <w:p w14:paraId="053D2F60" w14:textId="1C868798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1.1.1.1.1.2</w:t>
            </w:r>
          </w:p>
        </w:tc>
        <w:tc>
          <w:tcPr>
            <w:tcW w:w="4994" w:type="dxa"/>
          </w:tcPr>
          <w:p w14:paraId="174F1C9E" w14:textId="2D493A21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Dlouhodobý nehmotný majetek</w:t>
            </w:r>
          </w:p>
        </w:tc>
        <w:tc>
          <w:tcPr>
            <w:tcW w:w="1985" w:type="dxa"/>
          </w:tcPr>
          <w:p w14:paraId="5109895A" w14:textId="6D47C5D9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38523EBC" w14:textId="2CADD840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18AE6B90" w14:textId="0C977CDD" w:rsidTr="00FA3939">
        <w:tc>
          <w:tcPr>
            <w:tcW w:w="1238" w:type="dxa"/>
          </w:tcPr>
          <w:p w14:paraId="3F8817E3" w14:textId="5EF24A60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1.1.1.1.2</w:t>
            </w:r>
          </w:p>
        </w:tc>
        <w:tc>
          <w:tcPr>
            <w:tcW w:w="4994" w:type="dxa"/>
          </w:tcPr>
          <w:p w14:paraId="63094298" w14:textId="236B51CA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 xml:space="preserve">Přímé výdaje – neinvestiční </w:t>
            </w:r>
          </w:p>
        </w:tc>
        <w:tc>
          <w:tcPr>
            <w:tcW w:w="1985" w:type="dxa"/>
          </w:tcPr>
          <w:p w14:paraId="754CA6F8" w14:textId="672D8208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  <w:vAlign w:val="center"/>
          </w:tcPr>
          <w:p w14:paraId="2A9DF4B1" w14:textId="244DD29D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</w:p>
        </w:tc>
      </w:tr>
      <w:tr w:rsidR="00645E55" w:rsidRPr="00770443" w14:paraId="65286437" w14:textId="5D73C674" w:rsidTr="00FA3939">
        <w:tc>
          <w:tcPr>
            <w:tcW w:w="1238" w:type="dxa"/>
          </w:tcPr>
          <w:p w14:paraId="76612357" w14:textId="26EB1693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1.1.1.1.2.1</w:t>
            </w:r>
          </w:p>
        </w:tc>
        <w:tc>
          <w:tcPr>
            <w:tcW w:w="4994" w:type="dxa"/>
          </w:tcPr>
          <w:p w14:paraId="0795AB02" w14:textId="2A64D16F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Hmotný majetek</w:t>
            </w:r>
          </w:p>
        </w:tc>
        <w:tc>
          <w:tcPr>
            <w:tcW w:w="1985" w:type="dxa"/>
          </w:tcPr>
          <w:p w14:paraId="13CE1C82" w14:textId="78C347F8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3D913EF6" w14:textId="58958FD3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4D0F9F96" w14:textId="712A4127" w:rsidTr="00FA3939">
        <w:tc>
          <w:tcPr>
            <w:tcW w:w="1238" w:type="dxa"/>
          </w:tcPr>
          <w:p w14:paraId="59998CA3" w14:textId="78A81B6D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1.1.1.1.2.2</w:t>
            </w:r>
          </w:p>
        </w:tc>
        <w:tc>
          <w:tcPr>
            <w:tcW w:w="4994" w:type="dxa"/>
          </w:tcPr>
          <w:p w14:paraId="72B53050" w14:textId="49558123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Nehmotný majetek</w:t>
            </w:r>
          </w:p>
        </w:tc>
        <w:tc>
          <w:tcPr>
            <w:tcW w:w="1985" w:type="dxa"/>
          </w:tcPr>
          <w:p w14:paraId="2C0B6ADE" w14:textId="7047FC38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7D126C86" w14:textId="3E53C438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0A416732" w14:textId="4DA5104A" w:rsidTr="00FA3939">
        <w:tc>
          <w:tcPr>
            <w:tcW w:w="1238" w:type="dxa"/>
          </w:tcPr>
          <w:p w14:paraId="6B6A2EA2" w14:textId="4BB1E428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1.1.1.1.2.3</w:t>
            </w:r>
          </w:p>
        </w:tc>
        <w:tc>
          <w:tcPr>
            <w:tcW w:w="4994" w:type="dxa"/>
          </w:tcPr>
          <w:p w14:paraId="638BE154" w14:textId="1F568F6A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Odpisy</w:t>
            </w:r>
          </w:p>
        </w:tc>
        <w:tc>
          <w:tcPr>
            <w:tcW w:w="1985" w:type="dxa"/>
          </w:tcPr>
          <w:p w14:paraId="085043B0" w14:textId="56C8A5D5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506ECECF" w14:textId="1D753B5E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5711E04F" w14:textId="5F6D6D55" w:rsidTr="00FA3939">
        <w:tc>
          <w:tcPr>
            <w:tcW w:w="1238" w:type="dxa"/>
          </w:tcPr>
          <w:p w14:paraId="0E3A60B9" w14:textId="1F066306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lastRenderedPageBreak/>
              <w:t>1.1.1.1.2.4</w:t>
            </w:r>
          </w:p>
        </w:tc>
        <w:tc>
          <w:tcPr>
            <w:tcW w:w="4994" w:type="dxa"/>
          </w:tcPr>
          <w:p w14:paraId="709D52D3" w14:textId="6590D290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cstheme="minorHAnsi"/>
                <w:sz w:val="22"/>
              </w:rPr>
              <w:t>Osobní výdaje</w:t>
            </w:r>
          </w:p>
        </w:tc>
        <w:tc>
          <w:tcPr>
            <w:tcW w:w="1985" w:type="dxa"/>
          </w:tcPr>
          <w:p w14:paraId="5E7F5CA4" w14:textId="7FEAD8E4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04083E1C" w14:textId="2363C05D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094F4EAF" w14:textId="3D821120" w:rsidTr="00FA3939">
        <w:tc>
          <w:tcPr>
            <w:tcW w:w="1238" w:type="dxa"/>
          </w:tcPr>
          <w:p w14:paraId="7F25397A" w14:textId="730E14EA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1.1.1.1.2.5</w:t>
            </w:r>
          </w:p>
        </w:tc>
        <w:tc>
          <w:tcPr>
            <w:tcW w:w="4994" w:type="dxa"/>
          </w:tcPr>
          <w:p w14:paraId="521AF2A8" w14:textId="428CE544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Autorské příspěvky</w:t>
            </w:r>
          </w:p>
        </w:tc>
        <w:tc>
          <w:tcPr>
            <w:tcW w:w="1985" w:type="dxa"/>
          </w:tcPr>
          <w:p w14:paraId="6EDC0240" w14:textId="324428F6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41D7D2C4" w14:textId="19382E49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69ED363B" w14:textId="551790BC" w:rsidTr="00FA3939">
        <w:tc>
          <w:tcPr>
            <w:tcW w:w="1238" w:type="dxa"/>
          </w:tcPr>
          <w:p w14:paraId="05E20F70" w14:textId="05AA4B1C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1.1.1.1.2.6</w:t>
            </w:r>
          </w:p>
        </w:tc>
        <w:tc>
          <w:tcPr>
            <w:tcW w:w="4994" w:type="dxa"/>
          </w:tcPr>
          <w:p w14:paraId="4C76FA8D" w14:textId="10F3A1A8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Cestovní náhrady</w:t>
            </w:r>
          </w:p>
        </w:tc>
        <w:tc>
          <w:tcPr>
            <w:tcW w:w="1985" w:type="dxa"/>
          </w:tcPr>
          <w:p w14:paraId="0B76DC47" w14:textId="6D8D5C9B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04186055" w14:textId="10D07D7F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26C8A85F" w14:textId="5155DDDC" w:rsidTr="00FA3939">
        <w:tc>
          <w:tcPr>
            <w:tcW w:w="1238" w:type="dxa"/>
          </w:tcPr>
          <w:p w14:paraId="0A209BBF" w14:textId="6D959C72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1.1.1.1.2.7</w:t>
            </w:r>
          </w:p>
        </w:tc>
        <w:tc>
          <w:tcPr>
            <w:tcW w:w="4994" w:type="dxa"/>
          </w:tcPr>
          <w:p w14:paraId="200392CE" w14:textId="4C107BF5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Nákup služeb</w:t>
            </w:r>
          </w:p>
        </w:tc>
        <w:tc>
          <w:tcPr>
            <w:tcW w:w="1985" w:type="dxa"/>
          </w:tcPr>
          <w:p w14:paraId="4423A6F4" w14:textId="2F7056B3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662D2074" w14:textId="11A44777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6879A7CF" w14:textId="3F57E8E5" w:rsidTr="00FA3939">
        <w:tc>
          <w:tcPr>
            <w:tcW w:w="1238" w:type="dxa"/>
          </w:tcPr>
          <w:p w14:paraId="300793D1" w14:textId="2232C8AA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1.1.1.1.2.8</w:t>
            </w:r>
          </w:p>
        </w:tc>
        <w:tc>
          <w:tcPr>
            <w:tcW w:w="4994" w:type="dxa"/>
          </w:tcPr>
          <w:p w14:paraId="2DBE94CA" w14:textId="35CF6670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sz w:val="22"/>
                <w:lang w:eastAsia="cs-CZ"/>
              </w:rPr>
              <w:t>Přímá podpora</w:t>
            </w:r>
          </w:p>
        </w:tc>
        <w:tc>
          <w:tcPr>
            <w:tcW w:w="1985" w:type="dxa"/>
          </w:tcPr>
          <w:p w14:paraId="035ED763" w14:textId="7099B372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2A8E6CD0" w14:textId="1920D511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1BC1E81B" w14:textId="12ADB9EE" w:rsidTr="00FA3939">
        <w:tc>
          <w:tcPr>
            <w:tcW w:w="1238" w:type="dxa"/>
          </w:tcPr>
          <w:p w14:paraId="6EDB8530" w14:textId="6EFF3E03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1.1.1.2</w:t>
            </w:r>
          </w:p>
        </w:tc>
        <w:tc>
          <w:tcPr>
            <w:tcW w:w="4994" w:type="dxa"/>
          </w:tcPr>
          <w:p w14:paraId="76917B85" w14:textId="46EA079D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Jednorázové částky (neinvestiční výdaje)</w:t>
            </w:r>
          </w:p>
        </w:tc>
        <w:tc>
          <w:tcPr>
            <w:tcW w:w="1985" w:type="dxa"/>
          </w:tcPr>
          <w:p w14:paraId="463C8B89" w14:textId="1B32F2B2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2DC29C9B" w14:textId="17316B69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3B4DA1D6" w14:textId="430A0472" w:rsidTr="00FA3939">
        <w:tc>
          <w:tcPr>
            <w:tcW w:w="1238" w:type="dxa"/>
          </w:tcPr>
          <w:p w14:paraId="381CE90C" w14:textId="3C33596D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1.1.1.3</w:t>
            </w:r>
          </w:p>
        </w:tc>
        <w:tc>
          <w:tcPr>
            <w:tcW w:w="4994" w:type="dxa"/>
          </w:tcPr>
          <w:p w14:paraId="482547D4" w14:textId="5F529BDD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Jednotkové náklady (neinvestiční výdaje)</w:t>
            </w:r>
          </w:p>
        </w:tc>
        <w:tc>
          <w:tcPr>
            <w:tcW w:w="1985" w:type="dxa"/>
          </w:tcPr>
          <w:p w14:paraId="59415B05" w14:textId="7F325F2C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</w:tcPr>
          <w:p w14:paraId="72595B3C" w14:textId="35292B24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  <w:r w:rsidRPr="00A04D78">
              <w:rPr>
                <w:rStyle w:val="ui-provider"/>
                <w:rFonts w:ascii="Segoe UI Symbol" w:hAnsi="Segoe UI Symbol" w:cs="Segoe UI Symbol"/>
              </w:rPr>
              <w:t>✓</w:t>
            </w:r>
          </w:p>
        </w:tc>
      </w:tr>
      <w:tr w:rsidR="00645E55" w:rsidRPr="00770443" w14:paraId="61CD7066" w14:textId="61274E0B" w:rsidTr="00FA3939">
        <w:tc>
          <w:tcPr>
            <w:tcW w:w="1238" w:type="dxa"/>
          </w:tcPr>
          <w:p w14:paraId="00E2D175" w14:textId="5BCD102F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1.1.1.4</w:t>
            </w:r>
          </w:p>
        </w:tc>
        <w:tc>
          <w:tcPr>
            <w:tcW w:w="4994" w:type="dxa"/>
          </w:tcPr>
          <w:p w14:paraId="188A222A" w14:textId="7083397D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 xml:space="preserve">Rezerva pro osobní výdaje </w:t>
            </w:r>
            <w:r w:rsidR="00200344">
              <w:rPr>
                <w:rFonts w:eastAsia="Times New Roman" w:cstheme="minorHAnsi"/>
                <w:b/>
                <w:bCs/>
                <w:sz w:val="22"/>
                <w:lang w:eastAsia="cs-CZ"/>
              </w:rPr>
              <w:t>(</w:t>
            </w: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neinvestiční výdaje)</w:t>
            </w:r>
          </w:p>
        </w:tc>
        <w:tc>
          <w:tcPr>
            <w:tcW w:w="1985" w:type="dxa"/>
          </w:tcPr>
          <w:p w14:paraId="064D62A1" w14:textId="40CBC352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  <w:vAlign w:val="center"/>
          </w:tcPr>
          <w:p w14:paraId="3BE9E32C" w14:textId="0768C8F1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</w:p>
        </w:tc>
      </w:tr>
      <w:tr w:rsidR="00645E55" w:rsidRPr="00770443" w14:paraId="503D4786" w14:textId="433F5CDF" w:rsidTr="00FA3939">
        <w:tc>
          <w:tcPr>
            <w:tcW w:w="1238" w:type="dxa"/>
          </w:tcPr>
          <w:p w14:paraId="7AF01428" w14:textId="1C8557BC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1.1.2</w:t>
            </w:r>
          </w:p>
        </w:tc>
        <w:tc>
          <w:tcPr>
            <w:tcW w:w="4994" w:type="dxa"/>
          </w:tcPr>
          <w:p w14:paraId="674245F4" w14:textId="4993C965" w:rsidR="00645E55" w:rsidRPr="005D06CA" w:rsidRDefault="00645E55" w:rsidP="00645E55">
            <w:pPr>
              <w:pStyle w:val="Tabulkatext"/>
              <w:widowControl w:val="0"/>
              <w:rPr>
                <w:rFonts w:eastAsia="Times New Roman" w:cstheme="minorHAnsi"/>
                <w:b/>
                <w:bCs/>
                <w:sz w:val="22"/>
                <w:lang w:eastAsia="cs-CZ"/>
              </w:rPr>
            </w:pPr>
            <w:r w:rsidRPr="005D06CA">
              <w:rPr>
                <w:rFonts w:eastAsia="Times New Roman" w:cstheme="minorHAnsi"/>
                <w:b/>
                <w:bCs/>
                <w:sz w:val="22"/>
                <w:lang w:eastAsia="cs-CZ"/>
              </w:rPr>
              <w:t>Paušální náklady</w:t>
            </w:r>
          </w:p>
        </w:tc>
        <w:tc>
          <w:tcPr>
            <w:tcW w:w="1985" w:type="dxa"/>
          </w:tcPr>
          <w:p w14:paraId="7482928E" w14:textId="45A1FB16" w:rsidR="00645E55" w:rsidRPr="005D06CA" w:rsidRDefault="00645E55" w:rsidP="00645E55">
            <w:pPr>
              <w:pStyle w:val="Tabulkatext"/>
              <w:widowControl w:val="0"/>
              <w:rPr>
                <w:rFonts w:cstheme="minorHAnsi"/>
                <w:sz w:val="22"/>
                <w:highlight w:val="lightGray"/>
              </w:rPr>
            </w:pPr>
          </w:p>
        </w:tc>
        <w:tc>
          <w:tcPr>
            <w:tcW w:w="709" w:type="dxa"/>
            <w:vAlign w:val="center"/>
          </w:tcPr>
          <w:p w14:paraId="70DABC16" w14:textId="136F32C7" w:rsidR="00645E55" w:rsidRPr="005D06CA" w:rsidRDefault="00645E55" w:rsidP="00FA3939">
            <w:pPr>
              <w:pStyle w:val="Tabulkatext"/>
              <w:widowControl w:val="0"/>
              <w:jc w:val="center"/>
              <w:rPr>
                <w:rFonts w:cstheme="minorHAnsi"/>
                <w:sz w:val="22"/>
                <w:highlight w:val="lightGray"/>
              </w:rPr>
            </w:pPr>
          </w:p>
        </w:tc>
      </w:tr>
    </w:tbl>
    <w:p w14:paraId="12EC0223" w14:textId="77777777" w:rsidR="00F3518B" w:rsidRDefault="00F3518B" w:rsidP="0037751B">
      <w:pPr>
        <w:widowControl w:val="0"/>
      </w:pPr>
    </w:p>
    <w:sectPr w:rsidR="00F3518B" w:rsidSect="0037751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418" w:bottom="993" w:left="1418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3F50" w14:textId="77777777" w:rsidR="00455557" w:rsidRDefault="00455557" w:rsidP="00CE3205">
      <w:r>
        <w:separator/>
      </w:r>
    </w:p>
  </w:endnote>
  <w:endnote w:type="continuationSeparator" w:id="0">
    <w:p w14:paraId="0090070D" w14:textId="77777777" w:rsidR="00455557" w:rsidRDefault="00455557" w:rsidP="00CE3205">
      <w:r>
        <w:continuationSeparator/>
      </w:r>
    </w:p>
  </w:endnote>
  <w:endnote w:type="continuationNotice" w:id="1">
    <w:p w14:paraId="1B766143" w14:textId="77777777" w:rsidR="00455557" w:rsidRDefault="0045555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360429"/>
      <w:docPartObj>
        <w:docPartGallery w:val="Page Numbers (Bottom of Page)"/>
        <w:docPartUnique/>
      </w:docPartObj>
    </w:sdtPr>
    <w:sdtContent>
      <w:p w14:paraId="2E5AC073" w14:textId="0FBB30E3" w:rsidR="002A67D0" w:rsidRDefault="002A67D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3421B" w14:textId="77777777" w:rsidR="002A67D0" w:rsidRDefault="002A67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A3313" w14:textId="77777777" w:rsidR="00455557" w:rsidRDefault="00455557" w:rsidP="00CE3205">
      <w:r>
        <w:separator/>
      </w:r>
    </w:p>
  </w:footnote>
  <w:footnote w:type="continuationSeparator" w:id="0">
    <w:p w14:paraId="6C0CDD70" w14:textId="77777777" w:rsidR="00455557" w:rsidRDefault="00455557" w:rsidP="00CE3205">
      <w:r>
        <w:continuationSeparator/>
      </w:r>
    </w:p>
  </w:footnote>
  <w:footnote w:type="continuationNotice" w:id="1">
    <w:p w14:paraId="1732BDC1" w14:textId="77777777" w:rsidR="00455557" w:rsidRDefault="00455557">
      <w:pPr>
        <w:spacing w:before="0" w:after="0"/>
      </w:pPr>
    </w:p>
  </w:footnote>
  <w:footnote w:id="2">
    <w:p w14:paraId="45312E3E" w14:textId="4FDA3382" w:rsidR="00F305B8" w:rsidRPr="00C53D88" w:rsidRDefault="00F305B8" w:rsidP="00772EEC">
      <w:pPr>
        <w:pStyle w:val="Poznmkypodarou"/>
        <w:tabs>
          <w:tab w:val="left" w:pos="142"/>
        </w:tabs>
        <w:spacing w:before="0"/>
        <w:rPr>
          <w:szCs w:val="16"/>
        </w:rPr>
      </w:pPr>
      <w:r w:rsidRPr="00C53D88">
        <w:rPr>
          <w:rStyle w:val="Znakapoznpodarou"/>
          <w:rFonts w:cs="Calibri"/>
          <w:szCs w:val="16"/>
        </w:rPr>
        <w:footnoteRef/>
      </w:r>
      <w:r w:rsidRPr="00C53D88">
        <w:rPr>
          <w:szCs w:val="16"/>
        </w:rPr>
        <w:t xml:space="preserve"> </w:t>
      </w:r>
      <w:r w:rsidR="00772EEC">
        <w:rPr>
          <w:szCs w:val="16"/>
        </w:rPr>
        <w:tab/>
      </w:r>
      <w:r w:rsidRPr="00C53D88">
        <w:rPr>
          <w:szCs w:val="16"/>
        </w:rPr>
        <w:t xml:space="preserve">Údaje vyplňuje žadatel v ISKP21+ na záložce </w:t>
      </w:r>
      <w:r w:rsidR="00772EEC">
        <w:rPr>
          <w:szCs w:val="16"/>
        </w:rPr>
        <w:t>„</w:t>
      </w:r>
      <w:r w:rsidRPr="00C53D88">
        <w:rPr>
          <w:szCs w:val="16"/>
        </w:rPr>
        <w:t>Subjekty</w:t>
      </w:r>
      <w:r w:rsidR="00772EEC">
        <w:rPr>
          <w:szCs w:val="16"/>
        </w:rPr>
        <w:t>“</w:t>
      </w:r>
      <w:r w:rsidRPr="00C53D88">
        <w:rPr>
          <w:szCs w:val="16"/>
        </w:rPr>
        <w:t>.</w:t>
      </w:r>
    </w:p>
  </w:footnote>
  <w:footnote w:id="3">
    <w:p w14:paraId="15AA4D92" w14:textId="68E8DFF7" w:rsidR="00C53D88" w:rsidRPr="00C53D88" w:rsidRDefault="00C53D88" w:rsidP="00772EEC">
      <w:pPr>
        <w:pStyle w:val="Textpoznpodarou"/>
        <w:tabs>
          <w:tab w:val="left" w:pos="142"/>
        </w:tabs>
        <w:spacing w:before="0"/>
        <w:rPr>
          <w:sz w:val="16"/>
          <w:szCs w:val="16"/>
        </w:rPr>
      </w:pPr>
      <w:r w:rsidRPr="00C53D88">
        <w:rPr>
          <w:rStyle w:val="Znakapoznpodarou"/>
          <w:sz w:val="16"/>
          <w:szCs w:val="16"/>
        </w:rPr>
        <w:footnoteRef/>
      </w:r>
      <w:r w:rsidRPr="00C53D88">
        <w:rPr>
          <w:sz w:val="16"/>
          <w:szCs w:val="16"/>
        </w:rPr>
        <w:t xml:space="preserve"> </w:t>
      </w:r>
      <w:r w:rsidR="00772EEC">
        <w:rPr>
          <w:sz w:val="16"/>
          <w:szCs w:val="16"/>
        </w:rPr>
        <w:tab/>
      </w:r>
      <w:r w:rsidRPr="00C53D88">
        <w:rPr>
          <w:sz w:val="16"/>
          <w:szCs w:val="16"/>
        </w:rPr>
        <w:t>Údaje vyplňuje žadatel ve Studii proveditelnosti.</w:t>
      </w:r>
    </w:p>
  </w:footnote>
  <w:footnote w:id="4">
    <w:p w14:paraId="1A72195E" w14:textId="6218B51C" w:rsidR="00FF3A92" w:rsidRPr="00C53D88" w:rsidRDefault="00FF3A92" w:rsidP="00772EEC">
      <w:pPr>
        <w:pStyle w:val="Textpoznpodarou"/>
        <w:tabs>
          <w:tab w:val="left" w:pos="142"/>
        </w:tabs>
        <w:spacing w:before="0"/>
        <w:rPr>
          <w:sz w:val="16"/>
          <w:szCs w:val="16"/>
        </w:rPr>
      </w:pPr>
      <w:r w:rsidRPr="00C53D88">
        <w:rPr>
          <w:rStyle w:val="Znakapoznpodarou"/>
          <w:sz w:val="16"/>
          <w:szCs w:val="16"/>
        </w:rPr>
        <w:footnoteRef/>
      </w:r>
      <w:r w:rsidRPr="00C53D88">
        <w:rPr>
          <w:sz w:val="16"/>
          <w:szCs w:val="16"/>
        </w:rPr>
        <w:t xml:space="preserve"> </w:t>
      </w:r>
      <w:r w:rsidR="00772EEC">
        <w:rPr>
          <w:sz w:val="16"/>
          <w:szCs w:val="16"/>
        </w:rPr>
        <w:tab/>
      </w:r>
      <w:r w:rsidRPr="00C53D88">
        <w:rPr>
          <w:sz w:val="16"/>
          <w:szCs w:val="16"/>
        </w:rPr>
        <w:t xml:space="preserve">Název KA 2 a dalších, vyjma KA 1, </w:t>
      </w:r>
      <w:r w:rsidR="001C743E" w:rsidRPr="00C53D88">
        <w:rPr>
          <w:sz w:val="16"/>
          <w:szCs w:val="16"/>
        </w:rPr>
        <w:t xml:space="preserve">musí odpovídat </w:t>
      </w:r>
      <w:r w:rsidR="001D02A3" w:rsidRPr="00C53D88">
        <w:rPr>
          <w:sz w:val="16"/>
          <w:szCs w:val="16"/>
        </w:rPr>
        <w:t>žádosti o podporu</w:t>
      </w:r>
      <w:r w:rsidRPr="00C53D88">
        <w:rPr>
          <w:sz w:val="16"/>
          <w:szCs w:val="16"/>
        </w:rPr>
        <w:t>.</w:t>
      </w:r>
    </w:p>
  </w:footnote>
  <w:footnote w:id="5">
    <w:p w14:paraId="117E3006" w14:textId="3EF4C945" w:rsidR="005D143F" w:rsidRPr="001D02A3" w:rsidRDefault="005D143F" w:rsidP="00772EEC">
      <w:pPr>
        <w:pStyle w:val="Textpoznpodarou"/>
        <w:tabs>
          <w:tab w:val="left" w:pos="142"/>
        </w:tabs>
        <w:spacing w:before="0"/>
        <w:rPr>
          <w:sz w:val="16"/>
          <w:szCs w:val="16"/>
        </w:rPr>
      </w:pPr>
      <w:r w:rsidRPr="00C53D88">
        <w:rPr>
          <w:rStyle w:val="Znakapoznpodarou"/>
          <w:sz w:val="16"/>
          <w:szCs w:val="16"/>
        </w:rPr>
        <w:footnoteRef/>
      </w:r>
      <w:r w:rsidRPr="00C53D88">
        <w:rPr>
          <w:sz w:val="16"/>
          <w:szCs w:val="16"/>
          <w:vertAlign w:val="superscript"/>
        </w:rPr>
        <w:t xml:space="preserve"> </w:t>
      </w:r>
      <w:r w:rsidR="00772EEC">
        <w:rPr>
          <w:sz w:val="16"/>
          <w:szCs w:val="16"/>
          <w:vertAlign w:val="superscript"/>
        </w:rPr>
        <w:tab/>
      </w:r>
      <w:r w:rsidRPr="00C53D88">
        <w:rPr>
          <w:sz w:val="16"/>
          <w:szCs w:val="16"/>
        </w:rPr>
        <w:t>Údaje vyplňuje žadatel v</w:t>
      </w:r>
      <w:r w:rsidR="00C53D88">
        <w:rPr>
          <w:sz w:val="16"/>
          <w:szCs w:val="16"/>
        </w:rPr>
        <w:t xml:space="preserve">e Studii </w:t>
      </w:r>
      <w:r w:rsidRPr="00C53D88">
        <w:rPr>
          <w:sz w:val="16"/>
          <w:szCs w:val="16"/>
        </w:rPr>
        <w:t>proveditelnosti.</w:t>
      </w:r>
    </w:p>
  </w:footnote>
  <w:footnote w:id="6">
    <w:p w14:paraId="313044DC" w14:textId="3A1B4C60" w:rsidR="00F305B8" w:rsidRPr="00770443" w:rsidRDefault="00F305B8" w:rsidP="007C65D2">
      <w:pPr>
        <w:pStyle w:val="Poznmkypodarou"/>
        <w:spacing w:before="0"/>
      </w:pPr>
      <w:r w:rsidRPr="00BD4751">
        <w:rPr>
          <w:rStyle w:val="Znakapoznpodarou"/>
          <w:rFonts w:cs="Calibri"/>
          <w:szCs w:val="16"/>
        </w:rPr>
        <w:footnoteRef/>
      </w:r>
      <w:r w:rsidRPr="00BD4751">
        <w:rPr>
          <w:szCs w:val="16"/>
        </w:rPr>
        <w:t xml:space="preserve"> Údaje vyplňuje žadatel v ISKP21+ na záložce </w:t>
      </w:r>
      <w:r w:rsidR="00772EEC">
        <w:rPr>
          <w:szCs w:val="16"/>
        </w:rPr>
        <w:t>„</w:t>
      </w:r>
      <w:r w:rsidRPr="00BD4751">
        <w:rPr>
          <w:szCs w:val="16"/>
        </w:rPr>
        <w:t>Indikátory</w:t>
      </w:r>
      <w:r w:rsidR="00772EEC">
        <w:rPr>
          <w:szCs w:val="16"/>
        </w:rPr>
        <w:t>“</w:t>
      </w:r>
      <w:r w:rsidRPr="00BD4751">
        <w:rPr>
          <w:szCs w:val="16"/>
        </w:rPr>
        <w:t>.</w:t>
      </w:r>
    </w:p>
  </w:footnote>
  <w:footnote w:id="7">
    <w:p w14:paraId="23CE69D1" w14:textId="444DE29B" w:rsidR="00F305B8" w:rsidRPr="00770443" w:rsidRDefault="00F305B8" w:rsidP="007C65D2">
      <w:pPr>
        <w:pStyle w:val="Poznmkypodarou"/>
        <w:spacing w:before="0"/>
      </w:pPr>
      <w:r w:rsidRPr="00770443">
        <w:rPr>
          <w:rStyle w:val="Znakapoznpodarou"/>
          <w:rFonts w:cs="Calibri"/>
        </w:rPr>
        <w:footnoteRef/>
      </w:r>
      <w:r w:rsidRPr="00770443">
        <w:t xml:space="preserve"> Údaje vyplňuje žadatel v ISKP21+ v souladu s uživatelskou příručkou na záložce </w:t>
      </w:r>
      <w:r w:rsidR="00772EEC">
        <w:t>„</w:t>
      </w:r>
      <w:r w:rsidRPr="00770443">
        <w:t>Rozpočet</w:t>
      </w:r>
      <w:r w:rsidR="00772EEC">
        <w:t>“</w:t>
      </w:r>
      <w:r w:rsidRPr="0077044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357F1A79"/>
    <w:multiLevelType w:val="hybridMultilevel"/>
    <w:tmpl w:val="0F3AA30C"/>
    <w:lvl w:ilvl="0" w:tplc="AD366DA6">
      <w:start w:val="31"/>
      <w:numFmt w:val="bullet"/>
      <w:pStyle w:val="Odrky1rovn"/>
      <w:lvlText w:val="-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0830CA"/>
    <w:multiLevelType w:val="hybridMultilevel"/>
    <w:tmpl w:val="BF34D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15599"/>
    <w:multiLevelType w:val="hybridMultilevel"/>
    <w:tmpl w:val="B3A67A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4B2C3F"/>
    <w:multiLevelType w:val="hybridMultilevel"/>
    <w:tmpl w:val="688C2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C2BA5"/>
    <w:multiLevelType w:val="hybridMultilevel"/>
    <w:tmpl w:val="1160D60A"/>
    <w:lvl w:ilvl="0" w:tplc="F1223A04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65366">
    <w:abstractNumId w:val="0"/>
  </w:num>
  <w:num w:numId="2" w16cid:durableId="1155490370">
    <w:abstractNumId w:val="1"/>
  </w:num>
  <w:num w:numId="3" w16cid:durableId="1974748530">
    <w:abstractNumId w:val="4"/>
  </w:num>
  <w:num w:numId="4" w16cid:durableId="272983534">
    <w:abstractNumId w:val="5"/>
  </w:num>
  <w:num w:numId="5" w16cid:durableId="168564534">
    <w:abstractNumId w:val="3"/>
  </w:num>
  <w:num w:numId="6" w16cid:durableId="1057164437">
    <w:abstractNumId w:val="6"/>
  </w:num>
  <w:num w:numId="7" w16cid:durableId="761413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E2F"/>
    <w:rsid w:val="00011781"/>
    <w:rsid w:val="00021AFD"/>
    <w:rsid w:val="000268C3"/>
    <w:rsid w:val="00052DD9"/>
    <w:rsid w:val="00054A83"/>
    <w:rsid w:val="00054C32"/>
    <w:rsid w:val="00065524"/>
    <w:rsid w:val="00095E13"/>
    <w:rsid w:val="000A1C9A"/>
    <w:rsid w:val="000C345E"/>
    <w:rsid w:val="000D43CC"/>
    <w:rsid w:val="000E1578"/>
    <w:rsid w:val="000F3699"/>
    <w:rsid w:val="000F3A7D"/>
    <w:rsid w:val="0010035A"/>
    <w:rsid w:val="00114C23"/>
    <w:rsid w:val="00116835"/>
    <w:rsid w:val="00124B82"/>
    <w:rsid w:val="00127CF4"/>
    <w:rsid w:val="00130172"/>
    <w:rsid w:val="0014725C"/>
    <w:rsid w:val="001518E0"/>
    <w:rsid w:val="00154717"/>
    <w:rsid w:val="001B2131"/>
    <w:rsid w:val="001C743E"/>
    <w:rsid w:val="001C7CB4"/>
    <w:rsid w:val="001D02A3"/>
    <w:rsid w:val="001D50F8"/>
    <w:rsid w:val="00200344"/>
    <w:rsid w:val="00204165"/>
    <w:rsid w:val="00205E8E"/>
    <w:rsid w:val="0021324E"/>
    <w:rsid w:val="00232DBC"/>
    <w:rsid w:val="002A67D0"/>
    <w:rsid w:val="002B393F"/>
    <w:rsid w:val="002B501A"/>
    <w:rsid w:val="002B5F6A"/>
    <w:rsid w:val="002C67FE"/>
    <w:rsid w:val="002E4FE8"/>
    <w:rsid w:val="002F7CF9"/>
    <w:rsid w:val="00333704"/>
    <w:rsid w:val="003359FF"/>
    <w:rsid w:val="003403FE"/>
    <w:rsid w:val="0034384A"/>
    <w:rsid w:val="0034460B"/>
    <w:rsid w:val="00347615"/>
    <w:rsid w:val="0037751B"/>
    <w:rsid w:val="00380CA9"/>
    <w:rsid w:val="00382611"/>
    <w:rsid w:val="003B0F81"/>
    <w:rsid w:val="004146AE"/>
    <w:rsid w:val="004168EC"/>
    <w:rsid w:val="00430641"/>
    <w:rsid w:val="0043492D"/>
    <w:rsid w:val="00445D8B"/>
    <w:rsid w:val="0045389D"/>
    <w:rsid w:val="004538FE"/>
    <w:rsid w:val="00455557"/>
    <w:rsid w:val="004C4791"/>
    <w:rsid w:val="00515736"/>
    <w:rsid w:val="0052632C"/>
    <w:rsid w:val="00590117"/>
    <w:rsid w:val="00591247"/>
    <w:rsid w:val="00596B40"/>
    <w:rsid w:val="005A4881"/>
    <w:rsid w:val="005B1F7E"/>
    <w:rsid w:val="005C16F7"/>
    <w:rsid w:val="005C3D2B"/>
    <w:rsid w:val="005D06CA"/>
    <w:rsid w:val="005D0AE9"/>
    <w:rsid w:val="005D143F"/>
    <w:rsid w:val="005F194B"/>
    <w:rsid w:val="00643506"/>
    <w:rsid w:val="00645E55"/>
    <w:rsid w:val="00651F20"/>
    <w:rsid w:val="00686AC5"/>
    <w:rsid w:val="006A1FB0"/>
    <w:rsid w:val="006C4554"/>
    <w:rsid w:val="006D0408"/>
    <w:rsid w:val="006E7D71"/>
    <w:rsid w:val="006F1B93"/>
    <w:rsid w:val="007335F7"/>
    <w:rsid w:val="00772EEC"/>
    <w:rsid w:val="00791977"/>
    <w:rsid w:val="0079325F"/>
    <w:rsid w:val="00794E37"/>
    <w:rsid w:val="007A74C8"/>
    <w:rsid w:val="007C4763"/>
    <w:rsid w:val="007C65D2"/>
    <w:rsid w:val="007C739C"/>
    <w:rsid w:val="007F10ED"/>
    <w:rsid w:val="007F215F"/>
    <w:rsid w:val="007F4F78"/>
    <w:rsid w:val="00831EAC"/>
    <w:rsid w:val="00844BCF"/>
    <w:rsid w:val="0085324C"/>
    <w:rsid w:val="00866748"/>
    <w:rsid w:val="008B721A"/>
    <w:rsid w:val="008F5355"/>
    <w:rsid w:val="00912332"/>
    <w:rsid w:val="00936D7C"/>
    <w:rsid w:val="00951B61"/>
    <w:rsid w:val="009740D5"/>
    <w:rsid w:val="009A1DBC"/>
    <w:rsid w:val="00A01894"/>
    <w:rsid w:val="00A22567"/>
    <w:rsid w:val="00A24AF0"/>
    <w:rsid w:val="00A45DA2"/>
    <w:rsid w:val="00AA2EF2"/>
    <w:rsid w:val="00AA4BFB"/>
    <w:rsid w:val="00AB3A9B"/>
    <w:rsid w:val="00AB7685"/>
    <w:rsid w:val="00AC48A0"/>
    <w:rsid w:val="00AE0ADF"/>
    <w:rsid w:val="00AF75A6"/>
    <w:rsid w:val="00B05B96"/>
    <w:rsid w:val="00B12607"/>
    <w:rsid w:val="00B16F6E"/>
    <w:rsid w:val="00B31A62"/>
    <w:rsid w:val="00B540B2"/>
    <w:rsid w:val="00B90C5A"/>
    <w:rsid w:val="00BA4D8E"/>
    <w:rsid w:val="00BD2D3B"/>
    <w:rsid w:val="00BD4751"/>
    <w:rsid w:val="00BD607C"/>
    <w:rsid w:val="00BE607E"/>
    <w:rsid w:val="00C04C73"/>
    <w:rsid w:val="00C1430E"/>
    <w:rsid w:val="00C21082"/>
    <w:rsid w:val="00C32ADC"/>
    <w:rsid w:val="00C32C5B"/>
    <w:rsid w:val="00C53D88"/>
    <w:rsid w:val="00C60A28"/>
    <w:rsid w:val="00C81183"/>
    <w:rsid w:val="00C87F0C"/>
    <w:rsid w:val="00C95DC0"/>
    <w:rsid w:val="00CB0972"/>
    <w:rsid w:val="00CE3205"/>
    <w:rsid w:val="00D23838"/>
    <w:rsid w:val="00D56337"/>
    <w:rsid w:val="00D65C9F"/>
    <w:rsid w:val="00D93D1A"/>
    <w:rsid w:val="00DB3364"/>
    <w:rsid w:val="00E06E3F"/>
    <w:rsid w:val="00E15170"/>
    <w:rsid w:val="00E21754"/>
    <w:rsid w:val="00E517DB"/>
    <w:rsid w:val="00E62CAD"/>
    <w:rsid w:val="00EA0C52"/>
    <w:rsid w:val="00EA395D"/>
    <w:rsid w:val="00EA5AE8"/>
    <w:rsid w:val="00EB4E3D"/>
    <w:rsid w:val="00EC7091"/>
    <w:rsid w:val="00EE151E"/>
    <w:rsid w:val="00EE3BB3"/>
    <w:rsid w:val="00EE5FED"/>
    <w:rsid w:val="00F036A7"/>
    <w:rsid w:val="00F05483"/>
    <w:rsid w:val="00F07BA8"/>
    <w:rsid w:val="00F17324"/>
    <w:rsid w:val="00F17A60"/>
    <w:rsid w:val="00F305B8"/>
    <w:rsid w:val="00F3518B"/>
    <w:rsid w:val="00F57BEC"/>
    <w:rsid w:val="00F60EBD"/>
    <w:rsid w:val="00F82A2A"/>
    <w:rsid w:val="00FA3939"/>
    <w:rsid w:val="00FA3976"/>
    <w:rsid w:val="00FC7D8E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D475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D475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305B8"/>
    <w:pPr>
      <w:tabs>
        <w:tab w:val="clear" w:pos="5790"/>
      </w:tabs>
      <w:spacing w:before="60" w:after="60"/>
      <w:ind w:left="57" w:right="57"/>
      <w:jc w:val="left"/>
    </w:pPr>
    <w:rPr>
      <w:rFonts w:asciiTheme="minorHAnsi" w:hAnsiTheme="minorHAnsi"/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305B8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305B8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305B8"/>
    <w:rPr>
      <w:color w:val="080808"/>
      <w:sz w:val="20"/>
    </w:rPr>
  </w:style>
  <w:style w:type="table" w:styleId="Mkatabulky">
    <w:name w:val="Table Grid"/>
    <w:basedOn w:val="Normlntabulka"/>
    <w:uiPriority w:val="59"/>
    <w:rsid w:val="00F30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F305B8"/>
    <w:pPr>
      <w:tabs>
        <w:tab w:val="clear" w:pos="5790"/>
      </w:tabs>
      <w:spacing w:before="0" w:after="220"/>
      <w:ind w:left="720"/>
      <w:contextualSpacing/>
    </w:pPr>
    <w:rPr>
      <w:rFonts w:asciiTheme="minorHAnsi" w:hAnsi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305B8"/>
    <w:rPr>
      <w:color w:val="000000"/>
    </w:rPr>
  </w:style>
  <w:style w:type="paragraph" w:styleId="Revize">
    <w:name w:val="Revision"/>
    <w:hidden/>
    <w:uiPriority w:val="99"/>
    <w:semiHidden/>
    <w:rsid w:val="00C21082"/>
    <w:pPr>
      <w:spacing w:after="0" w:line="240" w:lineRule="auto"/>
    </w:pPr>
    <w:rPr>
      <w:rFonts w:ascii="Calibri" w:hAnsi="Calibri"/>
    </w:rPr>
  </w:style>
  <w:style w:type="paragraph" w:customStyle="1" w:styleId="Odrky1rovn">
    <w:name w:val="Odrážky 1. úrovně"/>
    <w:basedOn w:val="Normln"/>
    <w:qFormat/>
    <w:rsid w:val="0079325F"/>
    <w:pPr>
      <w:numPr>
        <w:numId w:val="7"/>
      </w:numPr>
      <w:tabs>
        <w:tab w:val="clear" w:pos="5790"/>
      </w:tabs>
      <w:adjustRightInd w:val="0"/>
      <w:spacing w:before="0"/>
      <w:ind w:left="425" w:hanging="425"/>
      <w:textAlignment w:val="baseline"/>
    </w:pPr>
    <w:rPr>
      <w:rFonts w:asciiTheme="minorHAnsi" w:hAnsiTheme="minorHAnsi" w:cs="Arial"/>
      <w:lang w:eastAsia="cs-CZ"/>
    </w:rPr>
  </w:style>
  <w:style w:type="paragraph" w:customStyle="1" w:styleId="OM-odrky">
    <w:name w:val="OM - odrážky"/>
    <w:basedOn w:val="Normln"/>
    <w:link w:val="OM-odrkyChar"/>
    <w:qFormat/>
    <w:rsid w:val="0079325F"/>
    <w:pPr>
      <w:tabs>
        <w:tab w:val="clear" w:pos="5790"/>
      </w:tabs>
      <w:adjustRightInd w:val="0"/>
      <w:spacing w:before="0"/>
      <w:ind w:left="1080" w:hanging="360"/>
      <w:textAlignment w:val="baseline"/>
    </w:pPr>
    <w:rPr>
      <w:rFonts w:asciiTheme="minorHAnsi" w:hAnsiTheme="minorHAnsi" w:cs="Arial"/>
      <w:lang w:eastAsia="cs-CZ"/>
    </w:rPr>
  </w:style>
  <w:style w:type="character" w:customStyle="1" w:styleId="OM-odrkyChar">
    <w:name w:val="OM - odrážky Char"/>
    <w:basedOn w:val="Standardnpsmoodstavce"/>
    <w:link w:val="OM-odrky"/>
    <w:rsid w:val="0079325F"/>
    <w:rPr>
      <w:rFonts w:cs="Arial"/>
      <w:lang w:eastAsia="cs-CZ"/>
    </w:rPr>
  </w:style>
  <w:style w:type="character" w:customStyle="1" w:styleId="ui-provider">
    <w:name w:val="ui-provider"/>
    <w:basedOn w:val="Standardnpsmoodstavce"/>
    <w:rsid w:val="00026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15OPMSMT0001-78-39704</_dlc_DocId>
    <_dlc_DocIdUrl xmlns="0104a4cd-1400-468e-be1b-c7aad71d7d5a">
      <Url>https://op.msmt.cz/_layouts/15/DocIdRedir.aspx?ID=15OPMSMT0001-78-39704</Url>
      <Description>15OPMSMT0001-78-39704</Description>
    </_dlc_DocIdUrl>
  </documentManagement>
</p:properties>
</file>

<file path=customXml/itemProps1.xml><?xml version="1.0" encoding="utf-8"?>
<ds:datastoreItem xmlns:ds="http://schemas.openxmlformats.org/officeDocument/2006/customXml" ds:itemID="{22DE0B2C-5E34-4BDF-BD4C-B732EFE0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D102E-7155-447A-99D8-06E6F7762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8AD4E-974B-4472-B22A-9E813657DA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47A066-F4AD-49B6-8972-5F9D52AF92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981DC2-AF2E-4B03-B7BC-303161CE86D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>na web</dc:description>
  <cp:lastModifiedBy>Zieglerová Alena</cp:lastModifiedBy>
  <cp:revision>2</cp:revision>
  <cp:lastPrinted>2022-03-15T15:20:00Z</cp:lastPrinted>
  <dcterms:created xsi:type="dcterms:W3CDTF">2024-09-11T10:12:00Z</dcterms:created>
  <dcterms:modified xsi:type="dcterms:W3CDTF">2024-09-11T10:12:00Z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1e88422b-bbdf-4afb-af01-f8ced46e6dff</vt:lpwstr>
  </property>
</Properties>
</file>