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40B6EE4A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6DADF23B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3B3375" w:rsidRPr="00CD172C">
        <w:rPr>
          <w:iCs/>
        </w:rPr>
        <w:t>02_23_029</w:t>
      </w:r>
      <w:r w:rsidR="00797732">
        <w:t xml:space="preserve"> s názvem </w:t>
      </w:r>
      <w:r w:rsidR="003B3375">
        <w:t>Teaming-CZ II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3B3375">
        <w:t>1</w:t>
      </w:r>
      <w:r w:rsidR="000B7A37" w:rsidRPr="000B7A37">
        <w:t xml:space="preserve"> </w:t>
      </w:r>
      <w:bookmarkStart w:id="0" w:name="_Hlk139615392"/>
      <w:r w:rsidR="000B7A37">
        <w:t>–</w:t>
      </w:r>
      <w:bookmarkEnd w:id="0"/>
      <w:r w:rsidR="000B7A37" w:rsidRPr="000B7A37">
        <w:t xml:space="preserve"> </w:t>
      </w:r>
      <w:r w:rsidR="003B3375">
        <w:t>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3B3375">
        <w:rPr>
          <w:spacing w:val="-4"/>
        </w:rPr>
        <w:t>pravid</w:t>
      </w:r>
      <w:r w:rsidR="00BB3E64" w:rsidRPr="003B3375">
        <w:rPr>
          <w:spacing w:val="-4"/>
        </w:rPr>
        <w:t>e</w:t>
      </w:r>
      <w:r w:rsidRPr="003B3375">
        <w:rPr>
          <w:spacing w:val="-4"/>
        </w:rPr>
        <w:t>l</w:t>
      </w:r>
      <w:r w:rsidRPr="00A80EB8">
        <w:t xml:space="preserve"> </w:t>
      </w:r>
      <w:r w:rsidR="00792B6D" w:rsidRPr="00A80EB8">
        <w:t>a</w:t>
      </w:r>
      <w:r w:rsidR="005A47B1" w:rsidRPr="00A80EB8">
        <w:t> </w:t>
      </w:r>
      <w:r w:rsidR="00792B6D" w:rsidRPr="00A80EB8">
        <w:t>podle zákona č. 130/2002 Sb., o podpoře výzkumu</w:t>
      </w:r>
      <w:r w:rsidR="00316826" w:rsidRPr="00A80EB8">
        <w:t>, experimentálního</w:t>
      </w:r>
      <w:r w:rsidR="00E71084" w:rsidRPr="00A80EB8">
        <w:t xml:space="preserve"> vývoje</w:t>
      </w:r>
      <w:r w:rsidR="00792B6D" w:rsidRPr="00A80EB8">
        <w:t xml:space="preserve"> </w:t>
      </w:r>
      <w:r w:rsidR="00316826" w:rsidRPr="00A80EB8">
        <w:t xml:space="preserve">a inovací </w:t>
      </w:r>
      <w:r w:rsidR="00792B6D" w:rsidRPr="00A80EB8">
        <w:t>z</w:t>
      </w:r>
      <w:r w:rsidR="00417433" w:rsidRPr="00A80EB8">
        <w:t> </w:t>
      </w:r>
      <w:r w:rsidR="00792B6D" w:rsidRPr="00A80EB8">
        <w:t>veřejných prostředků a o změně některých souvisejících zákonů (zákon o podpoře výzkumu</w:t>
      </w:r>
      <w:r w:rsidR="00316826" w:rsidRPr="00A80EB8">
        <w:t>, experimentálního</w:t>
      </w:r>
      <w:r w:rsidR="00E71084" w:rsidRPr="00A80EB8">
        <w:t xml:space="preserve"> vývoje</w:t>
      </w:r>
      <w:r w:rsidR="00316826" w:rsidRPr="00A80EB8">
        <w:t xml:space="preserve"> a inovací</w:t>
      </w:r>
      <w:r w:rsidR="00792B6D" w:rsidRPr="00A80EB8">
        <w:t>)</w:t>
      </w:r>
      <w:r w:rsidR="00093D3F" w:rsidRPr="00A80EB8">
        <w:t>,</w:t>
      </w:r>
      <w:r w:rsidR="00792B6D" w:rsidRPr="00A80EB8">
        <w:t xml:space="preserve"> ve znění pozdějších předpisů</w:t>
      </w:r>
      <w:r w:rsidR="00792B6D" w:rsidRPr="003B3375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14185E4B" w14:textId="2D5A0531" w:rsidR="00FF5020" w:rsidRPr="00C00FB7" w:rsidRDefault="000E114A" w:rsidP="00BF4F22">
      <w:pPr>
        <w:pStyle w:val="OM-Normln"/>
        <w:rPr>
          <w:bCs/>
        </w:rPr>
      </w:pPr>
      <w:r>
        <w:t>Účelem dotace je</w:t>
      </w:r>
      <w:r w:rsidR="00FF5020">
        <w:t xml:space="preserve"> modernizace excelentního výzkumného centra v souladu s plánovanými cíli komplementárního projektu výzvy Teaming for Excellence programu Horizont Evropa</w:t>
      </w:r>
      <w:r w:rsidR="005A0295">
        <w:rPr>
          <w:bCs/>
        </w:rPr>
        <w:t xml:space="preserve">, </w:t>
      </w:r>
      <w:r w:rsidR="00C00FB7" w:rsidRPr="00DA07AD">
        <w:rPr>
          <w:bCs/>
        </w:rPr>
        <w:t>HORIZON-WIDERA-202</w:t>
      </w:r>
      <w:r w:rsidR="00C00FB7">
        <w:rPr>
          <w:bCs/>
        </w:rPr>
        <w:t>3</w:t>
      </w:r>
      <w:r w:rsidR="00C00FB7" w:rsidRPr="00DA07AD">
        <w:rPr>
          <w:bCs/>
        </w:rPr>
        <w:t>-ACCESS-01-01-two-stage</w:t>
      </w:r>
      <w:r w:rsidR="00FF5020">
        <w:t>.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11C60BA0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BF4F22">
              <w:rPr>
                <w:highlight w:val="lightGray"/>
              </w:rPr>
              <w:t>Příjmy projektu připadající na způsobilé výdaje</w:t>
            </w:r>
            <w:r w:rsidR="008151D7"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A80EB8">
              <w:t>z toho z Evropského fondu pro regionální rozvoj</w:t>
            </w:r>
            <w:r w:rsidR="006C5D36" w:rsidRPr="00A80EB8">
              <w:t xml:space="preserve"> (dále jen „EFRR“)</w:t>
            </w:r>
            <w:r w:rsidRPr="00A80EB8">
              <w:t>,</w:t>
            </w:r>
            <w:r w:rsidR="00B5238B" w:rsidRPr="00DD7B24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1A6D798D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74DCCF8A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FE1C16" w:rsidRPr="00347CB3" w14:paraId="33A1D4FB" w14:textId="77777777" w:rsidTr="00DC1AD9">
        <w:tc>
          <w:tcPr>
            <w:tcW w:w="5103" w:type="dxa"/>
            <w:vAlign w:val="center"/>
          </w:tcPr>
          <w:p w14:paraId="38D6EF83" w14:textId="792B48B5" w:rsidR="00FE1C16" w:rsidRPr="00347CB3" w:rsidRDefault="00FE1C16" w:rsidP="00FE1C16">
            <w:pPr>
              <w:pStyle w:val="Tabulkatext"/>
            </w:pPr>
            <w:r w:rsidRPr="00AA6692">
              <w:rPr>
                <w:highlight w:val="lightGray"/>
              </w:rPr>
              <w:t>Prostředky poskytnuté dle Nařízení Komise (EU) č. 651/2014</w:t>
            </w:r>
            <w:r w:rsidRPr="00AA6692">
              <w:rPr>
                <w:highlight w:val="lightGray"/>
                <w:vertAlign w:val="superscript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28AF3A0D" w14:textId="388BA17A" w:rsidR="00FE1C16" w:rsidRPr="00347CB3" w:rsidRDefault="00FE1C16" w:rsidP="00FE1C16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6552C6CF" w14:textId="5FBEA993" w:rsidR="00FE1C16" w:rsidRDefault="00FE1C16" w:rsidP="00FE1C16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275C2E11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A80EB8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A80EB8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A80EB8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42610B">
        <w:rPr>
          <w:b w:val="0"/>
          <w:bCs/>
        </w:rPr>
        <w:t>.</w:t>
      </w:r>
    </w:p>
    <w:p w14:paraId="4F05E1A2" w14:textId="42CDD514" w:rsidR="00432FF9" w:rsidRPr="00FE6BCB" w:rsidRDefault="0008479C" w:rsidP="00BF4F2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</w:t>
      </w:r>
      <w:bookmarkStart w:id="2" w:name="_Hlk139619465"/>
      <w:r w:rsidRPr="00F044B2">
        <w:rPr>
          <w:b w:val="0"/>
        </w:rPr>
        <w:t xml:space="preserve">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</w:t>
      </w:r>
      <w:r w:rsidR="00FB3E9C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5A5478">
        <w:rPr>
          <w:b w:val="0"/>
        </w:rPr>
        <w:t>+.</w:t>
      </w:r>
      <w:bookmarkEnd w:id="2"/>
    </w:p>
    <w:p w14:paraId="4F05E1A5" w14:textId="67204DC8" w:rsidR="00432FF9" w:rsidRPr="0041292C" w:rsidRDefault="00432FF9" w:rsidP="004031A9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903384">
        <w:rPr>
          <w:b w:val="0"/>
        </w:rPr>
        <w:t>ex-ante</w:t>
      </w:r>
      <w:r w:rsidR="00903384" w:rsidRPr="0041292C">
        <w:rPr>
          <w:b w:val="0"/>
        </w:rPr>
        <w:t>.</w:t>
      </w:r>
    </w:p>
    <w:p w14:paraId="4F05E1A6" w14:textId="5D54EC76" w:rsidR="00432FF9" w:rsidRDefault="00CF1ACB" w:rsidP="004031A9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00427F">
        <w:rPr>
          <w:b w:val="0"/>
        </w:rPr>
        <w:t xml:space="preserve">25 </w:t>
      </w:r>
      <w:r w:rsidR="00432FF9" w:rsidRPr="0041292C">
        <w:rPr>
          <w:b w:val="0"/>
        </w:rPr>
        <w:t>%.</w:t>
      </w:r>
      <w:r w:rsidR="0000427F">
        <w:rPr>
          <w:b w:val="0"/>
        </w:rPr>
        <w:t xml:space="preserve"> Skutečná výše způsobilých paušálních nákladů se rovná součinu paušální sazby a sumy výdajů kategorií rozpočtu 1.1.1.</w:t>
      </w:r>
    </w:p>
    <w:p w14:paraId="46C2952F" w14:textId="77777777" w:rsidR="004C100F" w:rsidRDefault="004C100F" w:rsidP="004031A9">
      <w:pPr>
        <w:widowControl w:val="0"/>
        <w:spacing w:after="0"/>
        <w:jc w:val="left"/>
        <w:rPr>
          <w:b/>
        </w:rPr>
      </w:pPr>
    </w:p>
    <w:p w14:paraId="4F05E1B9" w14:textId="77777777" w:rsidR="00DE44DD" w:rsidRPr="00F044B2" w:rsidRDefault="00DE44DD" w:rsidP="004031A9">
      <w:pPr>
        <w:widowControl w:val="0"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4031A9">
      <w:pPr>
        <w:widowControl w:val="0"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4031A9">
      <w:pPr>
        <w:pStyle w:val="Headline2proTP"/>
        <w:keepNext w:val="0"/>
        <w:widowControl w:val="0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4031A9">
      <w:pPr>
        <w:widowControl w:val="0"/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4031A9">
      <w:pPr>
        <w:pStyle w:val="Headline0proTP"/>
        <w:widowControl w:val="0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4031A9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D2A156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2B98027D" w14:textId="77777777" w:rsidR="007A34E9" w:rsidRPr="007A34E9" w:rsidRDefault="00903BBB" w:rsidP="007A34E9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1315710F" w14:textId="5C07A028" w:rsidR="00FF5020" w:rsidRPr="007A34E9" w:rsidRDefault="00FF5020" w:rsidP="007A34E9">
      <w:pPr>
        <w:pStyle w:val="Headline1proTP"/>
        <w:numPr>
          <w:ilvl w:val="1"/>
          <w:numId w:val="53"/>
        </w:numPr>
        <w:ind w:left="425" w:hanging="425"/>
        <w:jc w:val="both"/>
        <w:rPr>
          <w:b w:val="0"/>
          <w:bCs/>
        </w:rPr>
      </w:pPr>
      <w:r w:rsidRPr="007A34E9">
        <w:rPr>
          <w:b w:val="0"/>
          <w:bCs/>
        </w:rPr>
        <w:t xml:space="preserve">Příjemce je povinen realizovat komplementární projekt č. </w:t>
      </w:r>
      <w:r w:rsidRPr="007A34E9">
        <w:rPr>
          <w:b w:val="0"/>
          <w:bCs/>
          <w:highlight w:val="lightGray"/>
        </w:rPr>
        <w:t>...</w:t>
      </w:r>
      <w:bookmarkStart w:id="3" w:name="_Hlk139619962"/>
      <w:r w:rsidR="009548EB" w:rsidRPr="007A34E9">
        <w:rPr>
          <w:rStyle w:val="Znakapoznpodarou"/>
          <w:b w:val="0"/>
          <w:bCs/>
          <w:highlight w:val="lightGray"/>
        </w:rPr>
        <w:footnoteReference w:id="10"/>
      </w:r>
      <w:bookmarkEnd w:id="3"/>
      <w:r w:rsidRPr="007A34E9">
        <w:rPr>
          <w:b w:val="0"/>
          <w:bCs/>
        </w:rPr>
        <w:t xml:space="preserve"> programu Horizont Evropa, výzvy Teaming for Excellence </w:t>
      </w:r>
      <w:r w:rsidR="00C00FB7" w:rsidRPr="007A34E9">
        <w:rPr>
          <w:b w:val="0"/>
          <w:bCs/>
        </w:rPr>
        <w:t>(HORIZON-WIDERA-2023-ACCESS-01-01-two-stage).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781C1F27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A80EB8">
        <w:rPr>
          <w:b w:val="0"/>
          <w:color w:val="080808"/>
          <w:shd w:val="clear" w:color="auto" w:fill="FFFFFF" w:themeFill="background1"/>
        </w:rPr>
        <w:t xml:space="preserve">v souladu s </w:t>
      </w:r>
      <w:r w:rsidRPr="00A80EB8">
        <w:rPr>
          <w:b w:val="0"/>
          <w:shd w:val="clear" w:color="auto" w:fill="FFFFFF" w:themeFill="background1"/>
        </w:rPr>
        <w:t xml:space="preserve">čl. </w:t>
      </w:r>
      <w:r w:rsidR="00FD4696" w:rsidRPr="00A80EB8">
        <w:rPr>
          <w:b w:val="0"/>
          <w:shd w:val="clear" w:color="auto" w:fill="FFFFFF" w:themeFill="background1"/>
        </w:rPr>
        <w:t>65</w:t>
      </w:r>
      <w:r w:rsidRPr="00A80EB8">
        <w:rPr>
          <w:b w:val="0"/>
          <w:shd w:val="clear" w:color="auto" w:fill="FFFFFF" w:themeFill="background1"/>
        </w:rPr>
        <w:t xml:space="preserve"> Nařízení Evropského parlamentu a</w:t>
      </w:r>
      <w:r w:rsidR="0000427F" w:rsidRPr="00A80EB8">
        <w:rPr>
          <w:b w:val="0"/>
          <w:shd w:val="clear" w:color="auto" w:fill="FFFFFF" w:themeFill="background1"/>
        </w:rPr>
        <w:t> </w:t>
      </w:r>
      <w:r w:rsidRPr="00A80EB8">
        <w:rPr>
          <w:b w:val="0"/>
          <w:shd w:val="clear" w:color="auto" w:fill="FFFFFF" w:themeFill="background1"/>
        </w:rPr>
        <w:t xml:space="preserve">Rady (EU) č. </w:t>
      </w:r>
      <w:r w:rsidR="00FA1CE2" w:rsidRPr="00A80EB8">
        <w:rPr>
          <w:b w:val="0"/>
          <w:shd w:val="clear" w:color="auto" w:fill="FFFFFF" w:themeFill="background1"/>
        </w:rPr>
        <w:t>2021/1060 ze dne 24. června 2021 o společných ustanoveních pro Evropský fond pro</w:t>
      </w:r>
      <w:r w:rsidR="005A5478">
        <w:rPr>
          <w:b w:val="0"/>
          <w:shd w:val="clear" w:color="auto" w:fill="FFFFFF" w:themeFill="background1"/>
        </w:rPr>
        <w:t> </w:t>
      </w:r>
      <w:r w:rsidR="00FA1CE2" w:rsidRPr="00A80EB8">
        <w:rPr>
          <w:b w:val="0"/>
          <w:shd w:val="clear" w:color="auto" w:fill="FFFFFF" w:themeFill="background1"/>
        </w:rPr>
        <w:t>regionální rozvoj, Evropský sociální fond plus, Fond soudržnosti, Fond pro spravedlivou transformaci a</w:t>
      </w:r>
      <w:r w:rsidR="0000427F" w:rsidRPr="00A80EB8">
        <w:rPr>
          <w:b w:val="0"/>
          <w:shd w:val="clear" w:color="auto" w:fill="FFFFFF" w:themeFill="background1"/>
        </w:rPr>
        <w:t> </w:t>
      </w:r>
      <w:r w:rsidR="00FA1CE2" w:rsidRPr="00A80EB8">
        <w:rPr>
          <w:b w:val="0"/>
          <w:shd w:val="clear" w:color="auto" w:fill="FFFFFF" w:themeFill="background1"/>
        </w:rPr>
        <w:t>Evropský námořní, rybářský a</w:t>
      </w:r>
      <w:r w:rsidR="009941B6" w:rsidRPr="00A80EB8">
        <w:rPr>
          <w:b w:val="0"/>
          <w:shd w:val="clear" w:color="auto" w:fill="FFFFFF" w:themeFill="background1"/>
        </w:rPr>
        <w:t> </w:t>
      </w:r>
      <w:r w:rsidR="00FA1CE2" w:rsidRPr="00A80EB8">
        <w:rPr>
          <w:b w:val="0"/>
          <w:shd w:val="clear" w:color="auto" w:fill="FFFFFF" w:themeFill="background1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A80EB8" w:rsidDel="00FA1CE2">
        <w:rPr>
          <w:b w:val="0"/>
          <w:shd w:val="clear" w:color="auto" w:fill="FFFFFF" w:themeFill="background1"/>
        </w:rPr>
        <w:t xml:space="preserve"> </w:t>
      </w:r>
      <w:r w:rsidR="00030703" w:rsidRPr="0042610B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AA6692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4" w:name="_Ref465174852"/>
    </w:p>
    <w:p w14:paraId="4F05E1C5" w14:textId="24AC7443" w:rsidR="00DE44DD" w:rsidRPr="00DC1AD9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5" w:name="_Ref465174751"/>
      <w:bookmarkEnd w:id="4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C7B10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BC7B10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6" w:name="_Hlk125039065"/>
      <w:r w:rsidR="00145833" w:rsidRPr="00AA6692">
        <w:rPr>
          <w:rStyle w:val="Znakapoznpodarou"/>
          <w:b w:val="0"/>
          <w:highlight w:val="lightGray"/>
        </w:rPr>
        <w:footnoteReference w:id="11"/>
      </w:r>
      <w:bookmarkEnd w:id="6"/>
      <w:r w:rsidR="00765098" w:rsidRPr="00DC1AD9">
        <w:rPr>
          <w:b w:val="0"/>
          <w:highlight w:val="lightGray"/>
        </w:rPr>
        <w:t>:</w:t>
      </w:r>
      <w:bookmarkEnd w:id="5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266E22" w14:paraId="136D8CF1" w14:textId="77777777" w:rsidTr="0042610B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266E22" w:rsidRDefault="009F7F0D" w:rsidP="008D35FA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>Finanční milníky</w:t>
            </w:r>
            <w:r w:rsidR="0036437D" w:rsidRPr="00266E22">
              <w:rPr>
                <w:rStyle w:val="Znakapoznpodarou"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60573C96" w:rsidR="003A4D30" w:rsidRPr="00266E22" w:rsidRDefault="009F7F0D" w:rsidP="00BA2DD8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Období</w:t>
            </w:r>
            <w:r w:rsidR="004079FF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266E22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266E22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683AE06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2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266E22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3E2D45BC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4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30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266E22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79B4098D" w:rsidR="009F7F0D" w:rsidRPr="00266E22" w:rsidRDefault="00F21443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>–</w:t>
            </w:r>
            <w:r w:rsidR="009F7F0D" w:rsidRPr="00266E22">
              <w:rPr>
                <w:sz w:val="22"/>
                <w:szCs w:val="22"/>
                <w:highlight w:val="lightGray"/>
              </w:rPr>
              <w:t>6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2C1E3D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70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14"/>
            </w:r>
          </w:p>
        </w:tc>
      </w:tr>
    </w:tbl>
    <w:p w14:paraId="161D9370" w14:textId="1338A03D" w:rsidR="008D35FA" w:rsidRDefault="004B0911" w:rsidP="00832892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7826A878" w:rsidR="004B0911" w:rsidRPr="0042610B" w:rsidRDefault="003656C8" w:rsidP="004031A9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6" w:hanging="426"/>
        <w:rPr>
          <w:b w:val="0"/>
          <w:highlight w:val="lightGray"/>
        </w:rPr>
      </w:pPr>
      <w:r w:rsidRPr="0042610B">
        <w:rPr>
          <w:b w:val="0"/>
          <w:highlight w:val="lightGray"/>
        </w:rPr>
        <w:t xml:space="preserve">Příjemce je </w:t>
      </w:r>
      <w:r w:rsidR="004B0911" w:rsidRPr="0042610B">
        <w:rPr>
          <w:b w:val="0"/>
          <w:highlight w:val="lightGray"/>
        </w:rPr>
        <w:t xml:space="preserve">povinen vykázat </w:t>
      </w:r>
      <w:r w:rsidR="004C6326" w:rsidRPr="0042610B">
        <w:rPr>
          <w:b w:val="0"/>
          <w:highlight w:val="lightGray"/>
        </w:rPr>
        <w:t>P</w:t>
      </w:r>
      <w:r w:rsidR="00CA13E5" w:rsidRPr="0042610B">
        <w:rPr>
          <w:b w:val="0"/>
          <w:highlight w:val="lightGray"/>
        </w:rPr>
        <w:t>oskytovateli</w:t>
      </w:r>
      <w:r w:rsidR="004C6326" w:rsidRPr="0042610B">
        <w:rPr>
          <w:b w:val="0"/>
          <w:highlight w:val="lightGray"/>
        </w:rPr>
        <w:t xml:space="preserve"> </w:t>
      </w:r>
      <w:r w:rsidR="008921D2" w:rsidRPr="0042610B">
        <w:rPr>
          <w:b w:val="0"/>
          <w:highlight w:val="lightGray"/>
        </w:rPr>
        <w:t xml:space="preserve">dotace </w:t>
      </w:r>
      <w:r w:rsidR="004B0911" w:rsidRPr="0042610B">
        <w:rPr>
          <w:b w:val="0"/>
          <w:highlight w:val="lightGray"/>
        </w:rPr>
        <w:t xml:space="preserve">uskutečněné </w:t>
      </w:r>
      <w:r w:rsidR="00EF5117" w:rsidRPr="0042610B">
        <w:rPr>
          <w:b w:val="0"/>
          <w:highlight w:val="lightGray"/>
        </w:rPr>
        <w:t xml:space="preserve">přímé </w:t>
      </w:r>
      <w:r w:rsidR="004B0911" w:rsidRPr="0042610B">
        <w:rPr>
          <w:b w:val="0"/>
          <w:highlight w:val="lightGray"/>
        </w:rPr>
        <w:t xml:space="preserve">neinvestiční výdaje </w:t>
      </w:r>
      <w:r w:rsidR="008E0B89" w:rsidRPr="0042610B">
        <w:rPr>
          <w:b w:val="0"/>
          <w:highlight w:val="lightGray"/>
        </w:rPr>
        <w:t>v</w:t>
      </w:r>
      <w:r w:rsidR="00C37244" w:rsidRPr="0042610B">
        <w:rPr>
          <w:b w:val="0"/>
          <w:highlight w:val="lightGray"/>
        </w:rPr>
        <w:t> </w:t>
      </w:r>
      <w:r w:rsidR="004B0911" w:rsidRPr="0042610B">
        <w:rPr>
          <w:b w:val="0"/>
          <w:highlight w:val="lightGray"/>
        </w:rPr>
        <w:t xml:space="preserve">neinvestičních </w:t>
      </w:r>
      <w:r w:rsidR="00C15FEA" w:rsidRPr="0042610B">
        <w:rPr>
          <w:b w:val="0"/>
          <w:highlight w:val="lightGray"/>
        </w:rPr>
        <w:t>kapitolách</w:t>
      </w:r>
      <w:r w:rsidR="004B0911" w:rsidRPr="0042610B">
        <w:rPr>
          <w:b w:val="0"/>
          <w:highlight w:val="lightGray"/>
        </w:rPr>
        <w:t xml:space="preserve"> rozpočtu a uskutečněné </w:t>
      </w:r>
      <w:r w:rsidR="00EF5117" w:rsidRPr="0042610B">
        <w:rPr>
          <w:b w:val="0"/>
          <w:highlight w:val="lightGray"/>
        </w:rPr>
        <w:t xml:space="preserve">přímé </w:t>
      </w:r>
      <w:r w:rsidR="004B0911" w:rsidRPr="0042610B">
        <w:rPr>
          <w:b w:val="0"/>
          <w:highlight w:val="lightGray"/>
        </w:rPr>
        <w:t xml:space="preserve">investiční výdaje </w:t>
      </w:r>
      <w:r w:rsidR="008E0B89" w:rsidRPr="0042610B">
        <w:rPr>
          <w:b w:val="0"/>
          <w:highlight w:val="lightGray"/>
        </w:rPr>
        <w:t xml:space="preserve">v </w:t>
      </w:r>
      <w:r w:rsidR="004B0911" w:rsidRPr="0042610B">
        <w:rPr>
          <w:b w:val="0"/>
          <w:highlight w:val="lightGray"/>
        </w:rPr>
        <w:t xml:space="preserve">investičních </w:t>
      </w:r>
      <w:r w:rsidR="00C15FEA" w:rsidRPr="0042610B">
        <w:rPr>
          <w:b w:val="0"/>
          <w:highlight w:val="lightGray"/>
        </w:rPr>
        <w:t>kapitolách</w:t>
      </w:r>
      <w:r w:rsidR="004B0911" w:rsidRPr="0042610B">
        <w:rPr>
          <w:b w:val="0"/>
          <w:highlight w:val="lightGray"/>
        </w:rPr>
        <w:t xml:space="preserve"> rozpočtu.</w:t>
      </w:r>
      <w:r w:rsidR="0057759E" w:rsidRPr="0099496A">
        <w:rPr>
          <w:rStyle w:val="Znakapoznpodarou"/>
          <w:b w:val="0"/>
          <w:highlight w:val="lightGray"/>
        </w:rPr>
        <w:footnoteReference w:id="15"/>
      </w:r>
    </w:p>
    <w:p w14:paraId="3C41FAA0" w14:textId="445E99E5" w:rsidR="008D35FA" w:rsidRPr="00AA6692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  <w:highlight w:val="lightGray"/>
        </w:rPr>
      </w:pPr>
      <w:r w:rsidRPr="00AA6692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AA6692">
        <w:rPr>
          <w:b w:val="0"/>
          <w:highlight w:val="lightGray"/>
        </w:rPr>
        <w:t xml:space="preserve"> </w:t>
      </w:r>
      <w:r w:rsidRPr="00AA6692">
        <w:rPr>
          <w:b w:val="0"/>
          <w:highlight w:val="lightGray"/>
        </w:rPr>
        <w:t>investičních a neinvestičních výdajů pouze tehdy, pokud je vyplacení zálohy i změna provedena ve</w:t>
      </w:r>
      <w:r w:rsidR="00F74AF3">
        <w:rPr>
          <w:b w:val="0"/>
          <w:highlight w:val="lightGray"/>
        </w:rPr>
        <w:t> </w:t>
      </w:r>
      <w:r w:rsidRPr="00AA6692">
        <w:rPr>
          <w:b w:val="0"/>
          <w:highlight w:val="lightGray"/>
        </w:rPr>
        <w:t>stejném kalendářním roce.</w:t>
      </w:r>
      <w:r w:rsidR="004F3303" w:rsidRPr="00AA6692">
        <w:rPr>
          <w:rStyle w:val="Znakapoznpodarou"/>
          <w:b w:val="0"/>
          <w:highlight w:val="lightGray"/>
        </w:rPr>
        <w:footnoteReference w:id="16"/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E0FFB4D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7" w:name="_Ref211603954"/>
    </w:p>
    <w:bookmarkEnd w:id="7"/>
    <w:p w14:paraId="4F05E1DA" w14:textId="354895CD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A80EB8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1005B1F0" w14:textId="77777777" w:rsidR="00A137E9" w:rsidRDefault="00A137E9" w:rsidP="0083289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bookmarkStart w:id="8" w:name="_Hlk139621648"/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7"/>
      </w:r>
      <w:r>
        <w:rPr>
          <w:b w:val="0"/>
        </w:rPr>
        <w:t>, pokud splní předem definované výstupy/výsledky nebo dojde ke schválení výdajů tvořících základ pro výpočet paušálních výdajů. Tuto část dotace příjemce nedokládá účetními doklady.</w:t>
      </w:r>
    </w:p>
    <w:p w14:paraId="4587FF28" w14:textId="77777777" w:rsidR="00A137E9" w:rsidRDefault="00A137E9" w:rsidP="00832892">
      <w:pPr>
        <w:pStyle w:val="Headline2proTP"/>
        <w:keepLines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Po</w:t>
      </w:r>
      <w:r>
        <w:rPr>
          <w:rStyle w:val="ui-provider"/>
          <w:b w:val="0"/>
        </w:rPr>
        <w:t>kud prostředky poskytnuté na výdaje financované zjednodušenými metodami vykazování převyšují skutečnou výši těchto výdajů, zůstávají příjemci a považují se za vyčerpané/použité v rozsahu, v němž byly splněny podmínky stanovené pro jejich poskytnutí.</w:t>
      </w:r>
    </w:p>
    <w:bookmarkEnd w:id="8"/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109CC63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9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9"/>
    </w:p>
    <w:p w14:paraId="263C2A4E" w14:textId="5E0BC7D9" w:rsidR="005D1B51" w:rsidRPr="00514182" w:rsidRDefault="00480809" w:rsidP="00A80EB8">
      <w:pPr>
        <w:pStyle w:val="Headline2proTP"/>
        <w:keepNext w:val="0"/>
        <w:widowControl w:val="0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A80EB8">
      <w:pPr>
        <w:pStyle w:val="Headline2proTP"/>
        <w:keepNext w:val="0"/>
        <w:widowControl w:val="0"/>
        <w:numPr>
          <w:ilvl w:val="0"/>
          <w:numId w:val="38"/>
        </w:numPr>
        <w:spacing w:before="60" w:after="0"/>
        <w:ind w:hanging="295"/>
        <w:rPr>
          <w:b w:val="0"/>
        </w:rPr>
      </w:pPr>
      <w:bookmarkStart w:id="10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A80EB8">
      <w:pPr>
        <w:pStyle w:val="Headline2proTP"/>
        <w:keepNext w:val="0"/>
        <w:widowControl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39E4366E" w14:textId="7B261493" w:rsidR="004C2A82" w:rsidRPr="004C2A82" w:rsidRDefault="00937527" w:rsidP="00A80EB8">
      <w:pPr>
        <w:widowControl w:val="0"/>
        <w:spacing w:before="60" w:after="0"/>
        <w:ind w:left="425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11" w:name="_Hlk124233936"/>
      <w:r w:rsidR="00145833" w:rsidRPr="00AA6692">
        <w:rPr>
          <w:rStyle w:val="Znakapoznpodarou"/>
          <w:rFonts w:cs="Arial"/>
          <w:highlight w:val="lightGray"/>
        </w:rPr>
        <w:footnoteReference w:id="18"/>
      </w:r>
      <w:bookmarkEnd w:id="11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  <w:bookmarkEnd w:id="10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12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42610B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 xml:space="preserve">, včetně všech </w:t>
      </w:r>
      <w:r w:rsidR="00DB2743" w:rsidRPr="00EC5715">
        <w:rPr>
          <w:b w:val="0"/>
        </w:rPr>
        <w:lastRenderedPageBreak/>
        <w:t>nezbytných příloh</w:t>
      </w:r>
      <w:r w:rsidRPr="003E2197">
        <w:rPr>
          <w:b w:val="0"/>
        </w:rPr>
        <w:t>.</w:t>
      </w:r>
      <w:bookmarkEnd w:id="12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3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3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4" w:name="_Ref456101660"/>
      <w:bookmarkStart w:id="15" w:name="_Ref464622509"/>
      <w:bookmarkEnd w:id="14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5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6" w:name="_Ref456101688"/>
      <w:r w:rsidRPr="00347CB3">
        <w:t>Oznamovací povinnost</w:t>
      </w:r>
      <w:bookmarkEnd w:id="16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54ADE254" w14:textId="11653E5E" w:rsidR="00E558ED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354C32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60E5BE0F" w14:textId="419358AF" w:rsidR="00E558ED" w:rsidRPr="00D354AA" w:rsidRDefault="00476983" w:rsidP="00832892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Cs/>
        </w:rPr>
      </w:pPr>
      <w:r w:rsidRPr="00D354AA">
        <w:rPr>
          <w:b w:val="0"/>
          <w:bCs/>
        </w:rPr>
        <w:t xml:space="preserve">Příjemce je povinen informovat Poskytovatele dotace o změnách v komplementárním projektu č.  </w:t>
      </w:r>
      <w:r w:rsidRPr="00D354AA">
        <w:rPr>
          <w:b w:val="0"/>
          <w:bCs/>
          <w:highlight w:val="lightGray"/>
        </w:rPr>
        <w:t>...</w:t>
      </w:r>
      <w:r w:rsidRPr="00D354AA">
        <w:rPr>
          <w:rStyle w:val="Znakapoznpodarou"/>
          <w:b w:val="0"/>
          <w:bCs/>
          <w:highlight w:val="lightGray"/>
        </w:rPr>
        <w:footnoteReference w:id="19"/>
      </w:r>
      <w:r w:rsidRPr="00D354AA">
        <w:rPr>
          <w:b w:val="0"/>
          <w:bCs/>
        </w:rPr>
        <w:t xml:space="preserve"> programu Horizont Evropa, výzvy Teaming for Excellence </w:t>
      </w:r>
      <w:r w:rsidR="00E558ED" w:rsidRPr="00D354AA">
        <w:rPr>
          <w:b w:val="0"/>
          <w:bCs/>
        </w:rPr>
        <w:t>(HORIZON-WIDERA-2023-ACCESS-01-01-two-stage)</w:t>
      </w:r>
      <w:r w:rsidRPr="00D354AA">
        <w:rPr>
          <w:b w:val="0"/>
          <w:bCs/>
        </w:rPr>
        <w:t xml:space="preserve">. </w:t>
      </w:r>
    </w:p>
    <w:p w14:paraId="4E1554DB" w14:textId="327DCB09" w:rsidR="00476983" w:rsidRPr="00D354AA" w:rsidRDefault="00476983" w:rsidP="00832892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Cs/>
        </w:rPr>
      </w:pPr>
      <w:r w:rsidRPr="00832892">
        <w:rPr>
          <w:b w:val="0"/>
          <w:bCs/>
        </w:rPr>
        <w:t xml:space="preserve">Příjemce je povinen na vyžádání informovat Poskytovatele dotace o implementaci komplementárního projektu č. </w:t>
      </w:r>
      <w:r w:rsidRPr="00832892">
        <w:rPr>
          <w:b w:val="0"/>
          <w:bCs/>
          <w:highlight w:val="lightGray"/>
        </w:rPr>
        <w:t>...</w:t>
      </w:r>
      <w:r w:rsidRPr="00832892">
        <w:rPr>
          <w:rStyle w:val="Znakapoznpodarou"/>
          <w:b w:val="0"/>
          <w:bCs/>
          <w:highlight w:val="lightGray"/>
        </w:rPr>
        <w:footnoteReference w:id="20"/>
      </w:r>
      <w:r w:rsidRPr="00832892">
        <w:rPr>
          <w:b w:val="0"/>
          <w:bCs/>
        </w:rPr>
        <w:t xml:space="preserve"> programu Horizont Evropa, výzvy Teaming for Excellence (</w:t>
      </w:r>
      <w:r w:rsidR="00E558ED" w:rsidRPr="00832892">
        <w:rPr>
          <w:b w:val="0"/>
          <w:bCs/>
        </w:rPr>
        <w:t>HORIZON-WIDERA-2023-ACCESS-01-01-two-stage</w:t>
      </w:r>
      <w:r w:rsidRPr="00832892">
        <w:rPr>
          <w:b w:val="0"/>
          <w:bCs/>
        </w:rPr>
        <w:t>).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7" w:name="_Ref456101718"/>
    </w:p>
    <w:bookmarkEnd w:id="17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08E8628E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BB4F3C">
        <w:rPr>
          <w:b w:val="0"/>
          <w:spacing w:val="-4"/>
        </w:rPr>
        <w:t xml:space="preserve">, </w:t>
      </w:r>
      <w:r w:rsidR="000512D5">
        <w:rPr>
          <w:b w:val="0"/>
          <w:spacing w:val="-4"/>
        </w:rPr>
        <w:t>a v případě, že příjemce nedokládá podpisový záznam společný pro více účetních dokladů, aby</w:t>
      </w:r>
      <w:r w:rsidR="00BB4F3C">
        <w:rPr>
          <w:b w:val="0"/>
          <w:spacing w:val="-4"/>
        </w:rPr>
        <w:t xml:space="preserve"> byly opatřen</w:t>
      </w:r>
      <w:r w:rsidR="000443C5">
        <w:rPr>
          <w:b w:val="0"/>
          <w:spacing w:val="-4"/>
        </w:rPr>
        <w:t>y</w:t>
      </w:r>
      <w:r w:rsidR="00BB4F3C">
        <w:rPr>
          <w:b w:val="0"/>
          <w:spacing w:val="-4"/>
        </w:rPr>
        <w:t xml:space="preserve">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B87FFC2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54C32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73758E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453E1726" w:rsidR="00025B62" w:rsidRPr="004031A9" w:rsidRDefault="00025B62" w:rsidP="0073758E">
      <w:pPr>
        <w:pStyle w:val="Odstavecseseznamem"/>
        <w:widowControl w:val="0"/>
        <w:numPr>
          <w:ilvl w:val="1"/>
          <w:numId w:val="30"/>
        </w:numPr>
        <w:shd w:val="clear" w:color="auto" w:fill="FFFFFF" w:themeFill="background1"/>
        <w:ind w:left="425" w:hanging="425"/>
        <w:rPr>
          <w:rFonts w:eastAsia="Times New Roman" w:cs="Times New Roman"/>
          <w:szCs w:val="32"/>
          <w:lang w:eastAsia="cs-CZ"/>
        </w:rPr>
      </w:pPr>
      <w:bookmarkStart w:id="18" w:name="_Hlk116491282"/>
      <w:r w:rsidRPr="004031A9">
        <w:rPr>
          <w:rFonts w:eastAsia="Times New Roman" w:cs="Times New Roman"/>
          <w:szCs w:val="32"/>
          <w:lang w:eastAsia="cs-CZ"/>
        </w:rPr>
        <w:lastRenderedPageBreak/>
        <w:t>Příjemce vykonávající hospodářské činnosti</w:t>
      </w:r>
      <w:bookmarkStart w:id="19" w:name="_Hlk124234729"/>
      <w:r w:rsidRPr="004031A9">
        <w:rPr>
          <w:rStyle w:val="Znakapoznpodarou"/>
          <w:rFonts w:eastAsia="Times New Roman" w:cs="Times New Roman"/>
          <w:szCs w:val="32"/>
          <w:lang w:eastAsia="cs-CZ"/>
        </w:rPr>
        <w:footnoteReference w:id="21"/>
      </w:r>
      <w:bookmarkEnd w:id="19"/>
      <w:r w:rsidR="003363EC">
        <w:rPr>
          <w:rFonts w:eastAsia="Times New Roman" w:cs="Times New Roman"/>
          <w:szCs w:val="32"/>
          <w:lang w:eastAsia="cs-CZ"/>
        </w:rPr>
        <w:t xml:space="preserve"> </w:t>
      </w:r>
      <w:r w:rsidR="00517B75" w:rsidRPr="004031A9">
        <w:rPr>
          <w:rFonts w:eastAsia="Times New Roman" w:cs="Times New Roman"/>
          <w:szCs w:val="32"/>
          <w:lang w:eastAsia="cs-CZ"/>
        </w:rPr>
        <w:t xml:space="preserve">(mimo projekt) </w:t>
      </w:r>
      <w:r w:rsidRPr="004031A9">
        <w:rPr>
          <w:rFonts w:eastAsia="Times New Roman" w:cs="Times New Roman"/>
          <w:szCs w:val="32"/>
          <w:lang w:eastAsia="cs-CZ"/>
        </w:rPr>
        <w:t>je povinen zajistit oddělení hospodářské a nehospodářské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20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4031A9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22"/>
      </w:r>
    </w:p>
    <w:bookmarkEnd w:id="18"/>
    <w:bookmarkEnd w:id="20"/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21" w:name="_Ref456361390"/>
      <w:bookmarkStart w:id="22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23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21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2B6BA532" w:rsidR="006533B2" w:rsidRPr="005E09F4" w:rsidRDefault="006533B2" w:rsidP="009B23F4">
      <w:pPr>
        <w:pStyle w:val="Default"/>
        <w:widowControl w:val="0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42610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3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E2DD464" w:rsidR="006533B2" w:rsidRPr="005E09F4" w:rsidRDefault="006533B2" w:rsidP="0042610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B2204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42610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4" w:name="_Ref456361668"/>
      <w:bookmarkEnd w:id="22"/>
      <w:bookmarkEnd w:id="23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4"/>
    </w:p>
    <w:p w14:paraId="4F05E1F4" w14:textId="07AD6AE4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7C35F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11589877"/>
      <w:bookmarkStart w:id="26" w:name="_Ref456101762"/>
      <w:r w:rsidRPr="00347CB3">
        <w:t>Kontrola</w:t>
      </w:r>
      <w:bookmarkEnd w:id="25"/>
      <w:r w:rsidRPr="00347CB3">
        <w:t>/audit</w:t>
      </w:r>
      <w:bookmarkEnd w:id="26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7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4"/>
      </w:r>
      <w:r w:rsidR="00B52BD8" w:rsidRPr="00794D28">
        <w:rPr>
          <w:b w:val="0"/>
        </w:rPr>
        <w:t xml:space="preserve"> a PpŽP. </w:t>
      </w:r>
    </w:p>
    <w:p w14:paraId="4F05E1F7" w14:textId="117A64E3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A80EB8">
        <w:rPr>
          <w:b w:val="0"/>
        </w:rPr>
        <w:t>resp.</w:t>
      </w:r>
      <w:r w:rsidR="005A5478">
        <w:rPr>
          <w:b w:val="0"/>
        </w:rPr>
        <w:t> </w:t>
      </w:r>
      <w:r w:rsidRPr="00A80EB8">
        <w:rPr>
          <w:b w:val="0"/>
        </w:rPr>
        <w:t>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7"/>
    </w:p>
    <w:p w14:paraId="2C8742A4" w14:textId="5B2DC166" w:rsidR="00753D6A" w:rsidRPr="00753D6A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5A5478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68BC870D" w14:textId="56CBD252" w:rsidR="00A5546D" w:rsidRPr="005A5478" w:rsidRDefault="00753D6A" w:rsidP="00A67665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5A5478">
        <w:rPr>
          <w:b w:val="0"/>
        </w:rPr>
        <w:t xml:space="preserve">Příjemce je povinen Poskytovateli dotace </w:t>
      </w:r>
      <w:r w:rsidRPr="005A5478">
        <w:rPr>
          <w:b w:val="0"/>
          <w:spacing w:val="-4"/>
        </w:rPr>
        <w:t>poskytnout veškeré informace o výsledcích</w:t>
      </w:r>
      <w:r w:rsidRPr="005A5478">
        <w:rPr>
          <w:b w:val="0"/>
        </w:rPr>
        <w:t xml:space="preserve"> těchto kontrol a auditů</w:t>
      </w:r>
      <w:r w:rsidR="006B7D8B" w:rsidRPr="005A5478">
        <w:rPr>
          <w:b w:val="0"/>
        </w:rPr>
        <w:t>, případně na žádost Poskytovatele dotace také veškeré informace o výsledcích předchozích kontrol a auditů,</w:t>
      </w:r>
      <w:r w:rsidRPr="005A5478">
        <w:rPr>
          <w:b w:val="0"/>
        </w:rPr>
        <w:t xml:space="preserve"> včetně kopií protokolů </w:t>
      </w:r>
      <w:r w:rsidR="006B7D8B" w:rsidRPr="005A5478">
        <w:rPr>
          <w:b w:val="0"/>
        </w:rPr>
        <w:t xml:space="preserve">o </w:t>
      </w:r>
      <w:r w:rsidRPr="005A5478">
        <w:rPr>
          <w:b w:val="0"/>
        </w:rPr>
        <w:t>kontrol</w:t>
      </w:r>
      <w:r w:rsidR="000B3BA7" w:rsidRPr="005A5478">
        <w:rPr>
          <w:b w:val="0"/>
        </w:rPr>
        <w:t>ách</w:t>
      </w:r>
      <w:r w:rsidRPr="005A5478">
        <w:rPr>
          <w:b w:val="0"/>
        </w:rPr>
        <w:t xml:space="preserve"> a zpráv o auditech, dále o</w:t>
      </w:r>
      <w:r w:rsidR="00A5546D" w:rsidRPr="005A5478">
        <w:rPr>
          <w:b w:val="0"/>
        </w:rPr>
        <w:t> </w:t>
      </w:r>
      <w:r w:rsidRPr="005A5478">
        <w:rPr>
          <w:b w:val="0"/>
        </w:rPr>
        <w:t xml:space="preserve">všech navrhovaných/uložených nápravných opatřeních, která budou výsledkem </w:t>
      </w:r>
      <w:r w:rsidRPr="005A5478">
        <w:rPr>
          <w:b w:val="0"/>
        </w:rPr>
        <w:lastRenderedPageBreak/>
        <w:t>kontrol/auditů, a o jejich splnění. Informace o provedených kontrolách a auditech vkládá příjemce ve výše uvedené lhůtě na záložku „Kontroly“ v ISKP21+.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8" w:name="_Ref211606163"/>
      <w:r w:rsidRPr="00347CB3">
        <w:t>Publicita</w:t>
      </w:r>
      <w:bookmarkEnd w:id="28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9" w:name="_Ref211606165"/>
      <w:r w:rsidR="0068612D">
        <w:rPr>
          <w:spacing w:val="-4"/>
        </w:rPr>
        <w:t>pŽP</w:t>
      </w:r>
      <w:r w:rsidRPr="00347CB3">
        <w:t>.</w:t>
      </w:r>
    </w:p>
    <w:bookmarkEnd w:id="29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08E785A3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 xml:space="preserve">rámci jiného programu či opakovaně ze stejného programu nebo jiných národních veřejných prostředků. </w:t>
      </w:r>
      <w:r w:rsidRPr="00081CD0">
        <w:rPr>
          <w:highlight w:val="lightGray"/>
        </w:rPr>
        <w:t>Pokud byl určitý</w:t>
      </w:r>
      <w:r w:rsidR="00161E75" w:rsidRPr="00081CD0">
        <w:rPr>
          <w:highlight w:val="lightGray"/>
        </w:rPr>
        <w:t xml:space="preserve"> výdaj uhrazen z dotace pouze z</w:t>
      </w:r>
      <w:r w:rsidRPr="00081CD0">
        <w:rPr>
          <w:highlight w:val="lightGray"/>
        </w:rPr>
        <w:t>části, týká se zákaz podle předchozí věty pouze této části výdaje.</w:t>
      </w:r>
      <w:r w:rsidR="00081CD0">
        <w:rPr>
          <w:rStyle w:val="Znakapoznpodarou"/>
          <w:highlight w:val="lightGray"/>
        </w:rPr>
        <w:footnoteReference w:id="25"/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30" w:name="_Ref211606175"/>
      <w:r w:rsidRPr="00347CB3">
        <w:t>Vypořádání projektu</w:t>
      </w:r>
      <w:bookmarkEnd w:id="30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6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7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8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1" w:name="_Ref211606682"/>
      <w:r w:rsidRPr="00347CB3">
        <w:t>Uchovávání dokumentů</w:t>
      </w:r>
      <w:bookmarkEnd w:id="31"/>
    </w:p>
    <w:p w14:paraId="4F05E201" w14:textId="22DBB5F1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A5546D">
        <w:t xml:space="preserve"> </w:t>
      </w:r>
      <w:r>
        <w:t>realizací projektu</w:t>
      </w:r>
      <w:r w:rsidR="00486C39">
        <w:t xml:space="preserve"> </w:t>
      </w:r>
      <w:r>
        <w:t>v</w:t>
      </w:r>
      <w:r w:rsidR="00A5546D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620CE96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BF4F22">
        <w:rPr>
          <w:highlight w:val="lightGray"/>
        </w:rPr>
        <w:t>Odečtení příjmů</w:t>
      </w:r>
      <w:r w:rsidR="0076772D" w:rsidRPr="00BF4F22">
        <w:rPr>
          <w:highlight w:val="lightGray"/>
        </w:rPr>
        <w:t xml:space="preserve"> a nezpůsobilé DPH</w:t>
      </w:r>
      <w:r w:rsidRPr="00347CB3">
        <w:t xml:space="preserve"> </w:t>
      </w:r>
      <w:r w:rsidR="00143361">
        <w:rPr>
          <w:rStyle w:val="Znakapoznpodarou"/>
        </w:rPr>
        <w:footnoteReference w:id="29"/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ACF3C70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bookmarkStart w:id="32" w:name="_Hlk138345933"/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1504B5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A80EB8">
        <w:rPr>
          <w:b w:val="0"/>
        </w:rPr>
        <w:t>v okamžiku předložení závěrečné zprávy o</w:t>
      </w:r>
      <w:r w:rsidR="00A5546D">
        <w:rPr>
          <w:b w:val="0"/>
        </w:rPr>
        <w:t> </w:t>
      </w:r>
      <w:r w:rsidR="00681ABA" w:rsidRPr="00A80EB8">
        <w:rPr>
          <w:b w:val="0"/>
        </w:rPr>
        <w:t>udržitelnosti</w:t>
      </w:r>
      <w:r w:rsidR="0023718C" w:rsidRPr="00A80EB8">
        <w:rPr>
          <w:b w:val="0"/>
        </w:rPr>
        <w:t xml:space="preserve">, </w:t>
      </w:r>
      <w:r w:rsidR="004E45FE" w:rsidRPr="00A80EB8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A5546D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A80EB8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A5546D">
        <w:rPr>
          <w:b w:val="0"/>
        </w:rPr>
        <w:t xml:space="preserve"> vyčíslit </w:t>
      </w:r>
      <w:r w:rsidR="004E45FE" w:rsidRPr="00A5546D">
        <w:rPr>
          <w:b w:val="0"/>
        </w:rPr>
        <w:t>výši čistých</w:t>
      </w:r>
      <w:r w:rsidR="004E45FE" w:rsidRPr="0022588F">
        <w:rPr>
          <w:b w:val="0"/>
        </w:rPr>
        <w:t xml:space="preserve">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bookmarkEnd w:id="32"/>
    <w:p w14:paraId="26934349" w14:textId="458BA875" w:rsidR="0078231B" w:rsidRDefault="0078231B" w:rsidP="005A5478">
      <w:pPr>
        <w:pStyle w:val="Headline2proTP"/>
        <w:keepNext w:val="0"/>
        <w:numPr>
          <w:ilvl w:val="1"/>
          <w:numId w:val="33"/>
        </w:numPr>
        <w:ind w:left="567" w:hanging="527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5A5478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33" w:name="_Ref261511254"/>
      <w:bookmarkStart w:id="34" w:name="_Hlk97304745"/>
      <w:r w:rsidRPr="00347CB3">
        <w:lastRenderedPageBreak/>
        <w:t>Péče o majetek</w:t>
      </w:r>
      <w:bookmarkEnd w:id="33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2AA404D8" w:rsidR="00D77D60" w:rsidRDefault="00EE6DFB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A80EB8">
        <w:t>a udržitelnosti</w:t>
      </w:r>
      <w:r w:rsidR="0029107F" w:rsidRPr="00347CB3">
        <w:t xml:space="preserve"> majetek spolufinancovaný byť i</w:t>
      </w:r>
      <w:r w:rsidR="00A5546D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5" w:name="_Hlk125274607"/>
      <w:r w:rsidR="0029107F">
        <w:rPr>
          <w:rStyle w:val="Znakapoznpodarou"/>
        </w:rPr>
        <w:footnoteReference w:id="30"/>
      </w:r>
      <w:bookmarkEnd w:id="35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6EB0BE62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7" w:name="_Hlk125274664"/>
      <w:r w:rsidRPr="00CA3189">
        <w:rPr>
          <w:rStyle w:val="Znakapoznpodarou"/>
          <w:rFonts w:asciiTheme="minorHAnsi" w:hAnsiTheme="minorHAnsi" w:cstheme="minorHAnsi"/>
        </w:rPr>
        <w:footnoteReference w:id="31"/>
      </w:r>
      <w:bookmarkEnd w:id="37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4"/>
    </w:p>
    <w:p w14:paraId="39DF34C5" w14:textId="405064CB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FE1C16">
        <w:rPr>
          <w:rFonts w:asciiTheme="minorHAnsi" w:hAnsiTheme="minorHAnsi" w:cstheme="minorHAnsi"/>
          <w:highlight w:val="lightGray"/>
        </w:rPr>
        <w:t xml:space="preserve">, </w:t>
      </w:r>
      <w:r w:rsidR="00E11E7E" w:rsidRPr="00FE1C16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FE1C16">
        <w:rPr>
          <w:rFonts w:asciiTheme="minorHAnsi" w:hAnsiTheme="minorHAnsi" w:cstheme="minorHAnsi"/>
          <w:highlight w:val="lightGray"/>
        </w:rPr>
        <w:t>i po ukončení realizace</w:t>
      </w:r>
      <w:r w:rsidR="003B1EC1" w:rsidRPr="00FE1C16">
        <w:rPr>
          <w:rFonts w:asciiTheme="minorHAnsi" w:hAnsiTheme="minorHAnsi" w:cstheme="minorHAnsi"/>
          <w:highlight w:val="lightGray"/>
        </w:rPr>
        <w:t xml:space="preserve"> a </w:t>
      </w:r>
      <w:r w:rsidR="003A4B7F" w:rsidRPr="00FE1C16">
        <w:rPr>
          <w:rFonts w:asciiTheme="minorHAnsi" w:hAnsiTheme="minorHAnsi" w:cstheme="minorHAnsi"/>
          <w:highlight w:val="lightGray"/>
        </w:rPr>
        <w:t>udržitelnosti projektu</w:t>
      </w:r>
      <w:r w:rsidR="00F8253B" w:rsidRPr="00FE1C16">
        <w:rPr>
          <w:rFonts w:asciiTheme="minorHAnsi" w:hAnsiTheme="minorHAnsi" w:cstheme="minorHAnsi"/>
          <w:highlight w:val="lightGray"/>
        </w:rPr>
        <w:t>)</w:t>
      </w:r>
      <w:bookmarkStart w:id="38" w:name="_Hlk125274701"/>
      <w:r w:rsidR="00FE1C1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32"/>
      </w:r>
      <w:bookmarkEnd w:id="38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B0E8DB9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</w:t>
      </w:r>
      <w:r w:rsidR="00171F02">
        <w:rPr>
          <w:b w:val="0"/>
        </w:rPr>
        <w:t xml:space="preserve"> </w:t>
      </w:r>
      <w:r w:rsidR="00BF1B8F">
        <w:rPr>
          <w:b w:val="0"/>
        </w:rPr>
        <w:t>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171F02">
        <w:rPr>
          <w:b w:val="0"/>
        </w:rPr>
        <w:t xml:space="preserve"> 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29F0A9E3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A80EB8">
        <w:rPr>
          <w:b w:val="0"/>
        </w:rPr>
        <w:t>, nejde-li o výsledky činnosti ve</w:t>
      </w:r>
      <w:r w:rsidR="00171F02" w:rsidRPr="00A80EB8">
        <w:rPr>
          <w:b w:val="0"/>
        </w:rPr>
        <w:t xml:space="preserve"> </w:t>
      </w:r>
      <w:r w:rsidR="00540168" w:rsidRPr="00A80EB8">
        <w:rPr>
          <w:b w:val="0"/>
        </w:rPr>
        <w:t>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171F02">
        <w:rPr>
          <w:b w:val="0"/>
        </w:rPr>
        <w:t xml:space="preserve"> </w:t>
      </w:r>
      <w:r w:rsidRPr="00BF0EDD">
        <w:rPr>
          <w:b w:val="0"/>
        </w:rPr>
        <w:t>souladu se</w:t>
      </w:r>
      <w:r w:rsidR="005C105F">
        <w:rPr>
          <w:b w:val="0"/>
        </w:rPr>
        <w:t> </w:t>
      </w:r>
      <w:r w:rsidRPr="00BF0EDD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171F02">
        <w:rPr>
          <w:b w:val="0"/>
        </w:rPr>
        <w:t xml:space="preserve"> 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171F0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B62069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</w:t>
      </w:r>
      <w:r w:rsidR="00171F02">
        <w:rPr>
          <w:b w:val="0"/>
        </w:rPr>
        <w:t xml:space="preserve"> </w:t>
      </w:r>
      <w:r w:rsidRPr="00BF0EDD">
        <w:rPr>
          <w:b w:val="0"/>
        </w:rPr>
        <w:t>základě zakázky s</w:t>
      </w:r>
      <w:r w:rsidR="00B62069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A80EB8">
        <w:rPr>
          <w:b w:val="0"/>
        </w:rPr>
        <w:t>V</w:t>
      </w:r>
      <w:r w:rsidR="00171F02" w:rsidRPr="00A80EB8">
        <w:rPr>
          <w:b w:val="0"/>
        </w:rPr>
        <w:t xml:space="preserve"> </w:t>
      </w:r>
      <w:r w:rsidR="0009018D" w:rsidRPr="00A80EB8">
        <w:rPr>
          <w:b w:val="0"/>
        </w:rPr>
        <w:t>případě</w:t>
      </w:r>
      <w:r w:rsidR="003818E9" w:rsidRPr="00A80EB8">
        <w:rPr>
          <w:b w:val="0"/>
        </w:rPr>
        <w:t xml:space="preserve"> výsledků činnosti ve VaVaI</w:t>
      </w:r>
      <w:r w:rsidR="008B577A" w:rsidRPr="00A80EB8">
        <w:rPr>
          <w:b w:val="0"/>
        </w:rPr>
        <w:t xml:space="preserve">, při jejichž vzniku byly alespoň částečně použity prostředky této dotace, nebo pokud se jedná o výsledek veřejné </w:t>
      </w:r>
      <w:r w:rsidR="008B577A" w:rsidRPr="00A80EB8">
        <w:rPr>
          <w:b w:val="0"/>
        </w:rPr>
        <w:lastRenderedPageBreak/>
        <w:t xml:space="preserve">zakázky ve VaVaI alespoň částečně hrazené z této dotace, </w:t>
      </w:r>
      <w:r w:rsidR="0009018D" w:rsidRPr="00A80EB8">
        <w:rPr>
          <w:b w:val="0"/>
        </w:rPr>
        <w:t xml:space="preserve">je příjemce povinen při ochraně práv a využití </w:t>
      </w:r>
      <w:r w:rsidR="008B577A" w:rsidRPr="00A80EB8">
        <w:rPr>
          <w:b w:val="0"/>
        </w:rPr>
        <w:t>postupovat v souladu s platnou legislativou</w:t>
      </w:r>
      <w:bookmarkStart w:id="39" w:name="_Hlk125274805"/>
      <w:r w:rsidR="008B577A" w:rsidRPr="005C105F">
        <w:rPr>
          <w:b w:val="0"/>
          <w:vertAlign w:val="superscript"/>
        </w:rPr>
        <w:footnoteReference w:id="33"/>
      </w:r>
      <w:bookmarkEnd w:id="39"/>
      <w:r w:rsidR="0009018D" w:rsidRPr="00A80EB8">
        <w:rPr>
          <w:b w:val="0"/>
        </w:rPr>
        <w:t>.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60BA0685" w:rsidR="002F2814" w:rsidRPr="001B102B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171F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71F0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3B3CE3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5C105F">
        <w:rPr>
          <w:rFonts w:asciiTheme="minorHAnsi" w:hAnsiTheme="minorHAnsi"/>
          <w:b w:val="0"/>
        </w:rPr>
        <w:t>,</w:t>
      </w:r>
      <w:r w:rsidR="00D938E3" w:rsidRPr="00A80EB8">
        <w:rPr>
          <w:rFonts w:asciiTheme="minorHAnsi" w:hAnsiTheme="minorHAnsi"/>
          <w:b w:val="0"/>
        </w:rPr>
        <w:t xml:space="preserve"> nebo </w:t>
      </w:r>
      <w:r w:rsidR="00132684" w:rsidRPr="00A80EB8">
        <w:rPr>
          <w:rFonts w:asciiTheme="minorHAnsi" w:hAnsiTheme="minorHAnsi"/>
          <w:b w:val="0"/>
        </w:rPr>
        <w:t xml:space="preserve">do schválení závěrečné zprávy o </w:t>
      </w:r>
      <w:r w:rsidR="00D938E3" w:rsidRPr="00A80EB8">
        <w:rPr>
          <w:rFonts w:asciiTheme="minorHAnsi" w:hAnsiTheme="minorHAnsi"/>
          <w:b w:val="0"/>
        </w:rPr>
        <w:t>udržitelnosti</w:t>
      </w:r>
      <w:r w:rsidR="00132684" w:rsidRPr="00A80EB8">
        <w:rPr>
          <w:rFonts w:asciiTheme="minorHAnsi" w:hAnsiTheme="minorHAnsi"/>
          <w:b w:val="0"/>
        </w:rPr>
        <w:t xml:space="preserve"> projektu</w:t>
      </w:r>
      <w:r w:rsidR="00C54CD9" w:rsidRPr="00A80EB8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bookmarkStart w:id="40" w:name="_Hlk125274875"/>
      <w:r w:rsidR="000A0C4D" w:rsidRPr="00833CEF">
        <w:rPr>
          <w:rStyle w:val="Znakapoznpodarou"/>
          <w:b w:val="0"/>
          <w:bCs/>
        </w:rPr>
        <w:footnoteReference w:id="34"/>
      </w:r>
      <w:bookmarkEnd w:id="40"/>
    </w:p>
    <w:p w14:paraId="4F05E20D" w14:textId="7FA8A1E9" w:rsidR="008C2763" w:rsidRPr="008118B2" w:rsidRDefault="008C2763" w:rsidP="004A7785">
      <w:pPr>
        <w:pStyle w:val="Headline2proTP"/>
        <w:keepNext w:val="0"/>
        <w:numPr>
          <w:ilvl w:val="0"/>
          <w:numId w:val="92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4A7785">
      <w:pPr>
        <w:pStyle w:val="Headline2proTP"/>
        <w:keepNext w:val="0"/>
        <w:numPr>
          <w:ilvl w:val="0"/>
          <w:numId w:val="92"/>
        </w:numPr>
        <w:spacing w:before="120" w:after="0"/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4A7785">
      <w:pPr>
        <w:pStyle w:val="Odstavecseseznamem"/>
        <w:numPr>
          <w:ilvl w:val="0"/>
          <w:numId w:val="92"/>
        </w:numPr>
        <w:spacing w:before="120" w:after="0"/>
        <w:ind w:left="567" w:hanging="567"/>
        <w:contextualSpacing w:val="0"/>
        <w:rPr>
          <w:b/>
          <w:vanish/>
        </w:rPr>
      </w:pPr>
    </w:p>
    <w:p w14:paraId="2B5108E5" w14:textId="77777777" w:rsidR="004A7785" w:rsidRPr="004A7785" w:rsidRDefault="004A7785" w:rsidP="004A7785">
      <w:pPr>
        <w:pStyle w:val="Odstavecseseznamem"/>
        <w:numPr>
          <w:ilvl w:val="0"/>
          <w:numId w:val="92"/>
        </w:numPr>
        <w:spacing w:before="120" w:after="0"/>
        <w:contextualSpacing w:val="0"/>
      </w:pPr>
    </w:p>
    <w:p w14:paraId="24639F3D" w14:textId="44F2178F" w:rsidR="00E558ED" w:rsidRPr="00832892" w:rsidRDefault="00E558ED" w:rsidP="004A7785">
      <w:pPr>
        <w:pStyle w:val="Odstavecseseznamem"/>
        <w:numPr>
          <w:ilvl w:val="0"/>
          <w:numId w:val="96"/>
        </w:numPr>
        <w:spacing w:before="120" w:after="0"/>
        <w:ind w:left="567" w:hanging="567"/>
        <w:contextualSpacing w:val="0"/>
      </w:pPr>
      <w:r>
        <w:rPr>
          <w:b/>
          <w:bCs/>
          <w:spacing w:val="-4"/>
          <w:u w:val="single"/>
        </w:rPr>
        <w:t xml:space="preserve">Varianta </w:t>
      </w:r>
      <w:r w:rsidR="005D6857">
        <w:rPr>
          <w:b/>
          <w:bCs/>
          <w:spacing w:val="-4"/>
          <w:u w:val="single"/>
        </w:rPr>
        <w:t>A</w:t>
      </w:r>
      <w:r w:rsidR="00835FF9">
        <w:rPr>
          <w:b/>
          <w:bCs/>
          <w:spacing w:val="-4"/>
          <w:u w:val="single"/>
        </w:rPr>
        <w:t xml:space="preserve"> – mimo režim veřejné podpory</w:t>
      </w:r>
      <w:r w:rsidRPr="00832892">
        <w:rPr>
          <w:rStyle w:val="Znakapoznpodarou"/>
          <w:spacing w:val="-4"/>
          <w:highlight w:val="lightGray"/>
        </w:rPr>
        <w:footnoteReference w:id="35"/>
      </w:r>
    </w:p>
    <w:p w14:paraId="689FC5B1" w14:textId="5C5AD9D5" w:rsidR="00396EA5" w:rsidRDefault="00495B2F" w:rsidP="00832892">
      <w:pPr>
        <w:pStyle w:val="Odstavecseseznamem"/>
        <w:spacing w:before="120" w:after="0"/>
        <w:ind w:left="567"/>
        <w:contextualSpacing w:val="0"/>
      </w:pPr>
      <w:r w:rsidRPr="004A7785">
        <w:rPr>
          <w:spacing w:val="-4"/>
        </w:rPr>
        <w:t>Podpora poskytnutá na realizaci projektu nemá charakter veřejné podpory ve smyslu čl.</w:t>
      </w:r>
      <w:r w:rsidR="00E179CC" w:rsidRPr="004A7785">
        <w:rPr>
          <w:spacing w:val="-4"/>
        </w:rPr>
        <w:t> </w:t>
      </w:r>
      <w:r w:rsidRPr="004A7785">
        <w:rPr>
          <w:spacing w:val="-4"/>
        </w:rPr>
        <w:t>107</w:t>
      </w:r>
      <w:r w:rsidR="000368C3" w:rsidRPr="004A7785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 w:rsidRPr="004A7785">
        <w:rPr>
          <w:rFonts w:asciiTheme="minorHAnsi" w:hAnsiTheme="minorHAnsi"/>
        </w:rPr>
        <w:t>Příjemce je povinen postupovat v souladu s podmínkami uvedenými v kap. 7.6.3 PpŽP.</w:t>
      </w:r>
    </w:p>
    <w:p w14:paraId="4F05E212" w14:textId="4A9A032B" w:rsidR="00495B2F" w:rsidRPr="00347CB3" w:rsidRDefault="00495B2F" w:rsidP="004A7785">
      <w:pPr>
        <w:spacing w:before="120" w:after="0"/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</w:t>
      </w:r>
      <w:r w:rsidR="005A5478">
        <w:rPr>
          <w:spacing w:val="-4"/>
        </w:rPr>
        <w:t> </w:t>
      </w:r>
      <w:r w:rsidRPr="00FB69D4">
        <w:rPr>
          <w:spacing w:val="-4"/>
        </w:rPr>
        <w:t>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36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A80EB8">
        <w:t>i po</w:t>
      </w:r>
      <w:r w:rsidR="00BF1A49" w:rsidRPr="00A80EB8">
        <w:t> </w:t>
      </w:r>
      <w:r w:rsidRPr="00A80EB8">
        <w:t>dobu jeho udržitelnosti</w:t>
      </w:r>
      <w:r w:rsidRPr="00347CB3">
        <w:t>.</w:t>
      </w:r>
    </w:p>
    <w:p w14:paraId="4F05E213" w14:textId="6A8AF105" w:rsidR="00495B2F" w:rsidRPr="00347CB3" w:rsidRDefault="00495B2F" w:rsidP="00835FF9">
      <w:pPr>
        <w:pStyle w:val="Odstavecseseznamem"/>
        <w:numPr>
          <w:ilvl w:val="0"/>
          <w:numId w:val="4"/>
        </w:numPr>
        <w:spacing w:before="60" w:after="60"/>
        <w:ind w:left="992" w:hanging="425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835FF9">
      <w:pPr>
        <w:pStyle w:val="Odstavecseseznamem"/>
        <w:numPr>
          <w:ilvl w:val="0"/>
          <w:numId w:val="4"/>
        </w:numPr>
        <w:spacing w:before="60" w:after="60"/>
        <w:ind w:left="992" w:hanging="425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28CCF3B" w:rsidR="00495B2F" w:rsidRPr="00347CB3" w:rsidRDefault="00495B2F" w:rsidP="00835FF9">
      <w:pPr>
        <w:pStyle w:val="Odstavecseseznamem"/>
        <w:numPr>
          <w:ilvl w:val="0"/>
          <w:numId w:val="4"/>
        </w:numPr>
        <w:spacing w:before="60" w:after="60"/>
        <w:ind w:left="992" w:hanging="425"/>
        <w:contextualSpacing w:val="0"/>
      </w:pPr>
      <w:r w:rsidRPr="00347CB3">
        <w:t>Vykonává-li tento subjekt rovněž hospodářské činnosti, je třeba pro financování, náklady a</w:t>
      </w:r>
      <w:r w:rsidR="00FD16C1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2024C10" w:rsidR="00495B2F" w:rsidRPr="00347CB3" w:rsidRDefault="00495B2F" w:rsidP="00835FF9">
      <w:pPr>
        <w:pStyle w:val="Odstavecseseznamem"/>
        <w:numPr>
          <w:ilvl w:val="0"/>
          <w:numId w:val="4"/>
        </w:numPr>
        <w:spacing w:before="60" w:after="60"/>
        <w:ind w:left="992" w:hanging="425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A80EB8">
        <w:t>i udržitelnosti</w:t>
      </w:r>
      <w:r w:rsidR="00D15AD3" w:rsidRPr="00D15AD3">
        <w:t xml:space="preserve"> projektu.</w:t>
      </w:r>
    </w:p>
    <w:p w14:paraId="4F05E217" w14:textId="1A31AE0E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 xml:space="preserve">hospodářské činnosti (včetně smluvního výzkumu a vývoje) nelze využít majetek ani další </w:t>
      </w:r>
      <w:r w:rsidRPr="00347CB3">
        <w:lastRenderedPageBreak/>
        <w:t>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37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503873A1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 xml:space="preserve">k dispozici na </w:t>
      </w:r>
      <w:hyperlink r:id="rId14" w:history="1">
        <w:r w:rsidR="005A5478" w:rsidRPr="0085717D">
          <w:rPr>
            <w:rStyle w:val="Hypertextovodkaz"/>
            <w:rFonts w:asciiTheme="minorHAnsi" w:hAnsiTheme="minorHAnsi" w:cstheme="majorHAnsi"/>
            <w:lang w:eastAsia="cs-CZ"/>
          </w:rPr>
          <w:t>www.opjak.cz</w:t>
        </w:r>
      </w:hyperlink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A80EB8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AA6692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 w:rsidRPr="00AA6692">
        <w:rPr>
          <w:rFonts w:asciiTheme="minorHAnsi" w:hAnsiTheme="minorHAnsi" w:cstheme="majorHAnsi"/>
          <w:highlight w:val="lightGray"/>
          <w:lang w:eastAsia="cs-CZ"/>
        </w:rPr>
        <w:t>1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Rámce je vyžadováno jak od</w:t>
      </w:r>
      <w:r w:rsidR="005A5478">
        <w:rPr>
          <w:rFonts w:asciiTheme="minorHAnsi" w:hAnsiTheme="minorHAnsi" w:cstheme="majorHAnsi"/>
          <w:highlight w:val="lightGray"/>
          <w:lang w:eastAsia="cs-CZ"/>
        </w:rPr>
        <w:t> 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>říjemce, tak rovněž od jednotlivých partnerů s finančním příspěvkem, kterým byla poskytnuta podpora mimo režim veřejné podpory na neh</w:t>
      </w:r>
      <w:r w:rsidR="0038410F" w:rsidRPr="00AA6692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AA6692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AA6692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>, tak za</w:t>
      </w:r>
      <w:r w:rsidR="005A5478">
        <w:rPr>
          <w:rFonts w:asciiTheme="minorHAnsi" w:hAnsiTheme="minorHAnsi" w:cstheme="majorHAnsi"/>
          <w:highlight w:val="lightGray"/>
          <w:lang w:eastAsia="cs-CZ"/>
        </w:rPr>
        <w:t> 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>všechny partnery s finančním příspěvkem.</w:t>
      </w:r>
      <w:r w:rsidR="00EA6696"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8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68751451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bookmarkStart w:id="41" w:name="_Hlk138068988"/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bookmarkStart w:id="42" w:name="_Hlk125274955"/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9"/>
      </w:r>
      <w:bookmarkEnd w:id="42"/>
    </w:p>
    <w:p w14:paraId="0364C043" w14:textId="1ED13E75" w:rsidR="00742D88" w:rsidRPr="000938D7" w:rsidRDefault="00742D88" w:rsidP="00742D88">
      <w:pPr>
        <w:keepNext/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5D6857">
        <w:rPr>
          <w:b/>
          <w:u w:val="single"/>
        </w:rPr>
        <w:t>B</w:t>
      </w:r>
      <w:r w:rsidR="00835FF9">
        <w:rPr>
          <w:b/>
          <w:u w:val="single"/>
        </w:rPr>
        <w:t xml:space="preserve"> </w:t>
      </w:r>
      <w:r w:rsidRPr="000938D7">
        <w:rPr>
          <w:b/>
          <w:u w:val="single"/>
        </w:rPr>
        <w:t>– podpora dle Nařízení Komise (EU) č. 651/2014</w:t>
      </w:r>
      <w:r w:rsidR="00835FF9">
        <w:rPr>
          <w:b/>
          <w:u w:val="single"/>
        </w:rPr>
        <w:t xml:space="preserve"> (GBER)</w:t>
      </w:r>
      <w:r w:rsidR="00E558ED" w:rsidRPr="00832892">
        <w:rPr>
          <w:rStyle w:val="Znakapoznpodarou"/>
          <w:bCs/>
          <w:highlight w:val="lightGray"/>
        </w:rPr>
        <w:footnoteReference w:id="40"/>
      </w:r>
    </w:p>
    <w:p w14:paraId="4B30817D" w14:textId="0C76FBBB" w:rsidR="00742D88" w:rsidRPr="00347CB3" w:rsidRDefault="00742D88" w:rsidP="00742D88">
      <w:pPr>
        <w:ind w:left="567"/>
        <w:rPr>
          <w:rFonts w:cs="Arial"/>
        </w:rPr>
      </w:pPr>
      <w:r w:rsidRPr="00347CB3">
        <w:rPr>
          <w:rFonts w:cs="Arial"/>
        </w:rPr>
        <w:t>Podpora je poskytována na činnosti vymezené </w:t>
      </w:r>
      <w:r>
        <w:rPr>
          <w:rFonts w:cs="Arial"/>
        </w:rPr>
        <w:t>pro příslušnou kategorii podpory dle N</w:t>
      </w:r>
      <w:r w:rsidRPr="00347CB3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>
        <w:rPr>
          <w:rFonts w:cs="Arial"/>
        </w:rPr>
        <w:t xml:space="preserve"> (dále jen „GBER“) </w:t>
      </w:r>
      <w:r w:rsidRPr="00347CB3">
        <w:rPr>
          <w:rFonts w:cs="Arial"/>
        </w:rPr>
        <w:t>a tato podpora je vyňata z</w:t>
      </w:r>
      <w:r>
        <w:rPr>
          <w:rFonts w:cs="Arial"/>
        </w:rPr>
        <w:t> </w:t>
      </w:r>
      <w:r w:rsidRPr="00347CB3">
        <w:rPr>
          <w:rFonts w:cs="Arial"/>
        </w:rPr>
        <w:t>oznamovací povinnosti podle čl. 108 odst. 3 Smlouvy o fungování EU</w:t>
      </w:r>
      <w:r>
        <w:rPr>
          <w:rFonts w:cs="Arial"/>
        </w:rPr>
        <w:t xml:space="preserve">. </w:t>
      </w:r>
      <w:r w:rsidRPr="00205D64">
        <w:rPr>
          <w:rFonts w:cs="Arial"/>
        </w:rPr>
        <w:t xml:space="preserve">Podpora je poskytována dle článku </w:t>
      </w:r>
      <w:r w:rsidR="005D6857" w:rsidRPr="00832892">
        <w:t>25d</w:t>
      </w:r>
      <w:r w:rsidRPr="00205D64">
        <w:rPr>
          <w:rFonts w:cs="Arial"/>
        </w:rPr>
        <w:t xml:space="preserve"> GBER. </w:t>
      </w:r>
    </w:p>
    <w:p w14:paraId="1EE46643" w14:textId="77777777" w:rsidR="00742D88" w:rsidRPr="00347CB3" w:rsidRDefault="00742D88" w:rsidP="00742D88">
      <w:pPr>
        <w:ind w:left="567"/>
        <w:rPr>
          <w:rFonts w:cs="Arial"/>
        </w:rPr>
      </w:pPr>
      <w:r w:rsidRPr="00347CB3">
        <w:rPr>
          <w:rFonts w:cs="Arial"/>
        </w:rPr>
        <w:t xml:space="preserve">Příjemce je povinen dodržovat podmínky stanovené </w:t>
      </w:r>
      <w:r>
        <w:rPr>
          <w:rFonts w:cs="Arial"/>
        </w:rPr>
        <w:t>GBER</w:t>
      </w:r>
      <w:r w:rsidRPr="00347CB3">
        <w:rPr>
          <w:rFonts w:cs="Arial"/>
        </w:rPr>
        <w:t xml:space="preserve"> </w:t>
      </w:r>
      <w:r w:rsidRPr="00AA6692">
        <w:rPr>
          <w:rFonts w:asciiTheme="minorHAnsi" w:hAnsiTheme="minorHAnsi" w:cstheme="majorHAnsi"/>
          <w:highlight w:val="lightGray"/>
          <w:lang w:eastAsia="cs-CZ"/>
        </w:rPr>
        <w:t>a zajistit jejich dodržování partnerem</w:t>
      </w:r>
      <w:bookmarkStart w:id="43" w:name="_Hlk138069056"/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1"/>
      </w:r>
      <w:bookmarkEnd w:id="43"/>
      <w:r>
        <w:rPr>
          <w:rFonts w:cs="Arial"/>
        </w:rPr>
        <w:t xml:space="preserve"> </w:t>
      </w:r>
      <w:r w:rsidRPr="00347CB3">
        <w:rPr>
          <w:rFonts w:cs="Arial"/>
        </w:rPr>
        <w:t>(a</w:t>
      </w:r>
      <w:r>
        <w:rPr>
          <w:rFonts w:cs="Arial"/>
        </w:rPr>
        <w:t> </w:t>
      </w:r>
      <w:r w:rsidRPr="00347CB3">
        <w:rPr>
          <w:rFonts w:cs="Arial"/>
        </w:rPr>
        <w:t>to jak Společná ustanovení vymezená v kapitole I</w:t>
      </w:r>
      <w:r>
        <w:rPr>
          <w:rFonts w:cs="Arial"/>
        </w:rPr>
        <w:t xml:space="preserve"> GBER</w:t>
      </w:r>
      <w:r w:rsidRPr="00347CB3">
        <w:rPr>
          <w:rFonts w:cs="Arial"/>
        </w:rPr>
        <w:t xml:space="preserve">, tak i příslušná Zvláštní ustanovení vymezená </w:t>
      </w:r>
      <w:r>
        <w:rPr>
          <w:rFonts w:cs="Arial"/>
        </w:rPr>
        <w:t xml:space="preserve">pro příslušné kategorie podpory </w:t>
      </w:r>
      <w:r w:rsidRPr="00347CB3">
        <w:rPr>
          <w:rFonts w:cs="Arial"/>
        </w:rPr>
        <w:t>v kapitole III</w:t>
      </w:r>
      <w:r>
        <w:rPr>
          <w:rFonts w:cs="Arial"/>
        </w:rPr>
        <w:t xml:space="preserve"> GBER</w:t>
      </w:r>
      <w:r w:rsidRPr="00347CB3">
        <w:rPr>
          <w:rFonts w:cs="Arial"/>
        </w:rPr>
        <w:t>)</w:t>
      </w:r>
      <w:r>
        <w:rPr>
          <w:rFonts w:cs="Arial"/>
        </w:rPr>
        <w:t>.</w:t>
      </w:r>
    </w:p>
    <w:p w14:paraId="3B33E79D" w14:textId="0BEA67BB" w:rsidR="00742D88" w:rsidRDefault="00742D88" w:rsidP="00742D8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Pr="00205D64">
        <w:rPr>
          <w:rFonts w:cs="Arial"/>
        </w:rPr>
        <w:t xml:space="preserve">dle článku </w:t>
      </w:r>
      <w:r w:rsidR="00D06E06" w:rsidRPr="00832892">
        <w:t>25d</w:t>
      </w:r>
      <w:r w:rsidR="00832892">
        <w:t xml:space="preserve"> </w:t>
      </w:r>
      <w:r w:rsidRPr="00205D64">
        <w:rPr>
          <w:rFonts w:cs="Arial"/>
        </w:rPr>
        <w:t>GBER</w:t>
      </w:r>
      <w:r w:rsidRPr="00347CB3">
        <w:rPr>
          <w:rFonts w:cs="Arial"/>
        </w:rPr>
        <w:t xml:space="preserve">. </w:t>
      </w:r>
      <w:r w:rsidRPr="00347CB3">
        <w:rPr>
          <w:rFonts w:cs="Arial"/>
          <w:bCs/>
        </w:rPr>
        <w:t xml:space="preserve">Příjemce může </w:t>
      </w:r>
      <w:r w:rsidRPr="00915860">
        <w:rPr>
          <w:rFonts w:cs="Arial"/>
          <w:bCs/>
        </w:rPr>
        <w:t>dotaci</w:t>
      </w:r>
      <w:r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použít</w:t>
      </w:r>
      <w:r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6E6D706A" w14:textId="3EFAFB2E" w:rsidR="00742D88" w:rsidRPr="00AA6692" w:rsidRDefault="00742D88" w:rsidP="00742D88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t xml:space="preserve">V případě podpory, která přesahuje </w:t>
      </w:r>
      <w:r w:rsidR="00D06E06">
        <w:t>1</w:t>
      </w:r>
      <w:r>
        <w:t xml:space="preserve">00 tis. EUR, bude informace o jejím poskytnutí Poskytovatelem dotace zapsána a zveřejněna v systému Evropské komise </w:t>
      </w:r>
      <w:r w:rsidRPr="005034B0">
        <w:t>Transparency Award Module</w:t>
      </w:r>
      <w:r>
        <w:t xml:space="preserve"> (TAM).</w:t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44" w:name="_Ref456361567"/>
      <w:bookmarkEnd w:id="41"/>
      <w:r w:rsidRPr="00347CB3">
        <w:t>Evaluace</w:t>
      </w:r>
      <w:bookmarkEnd w:id="44"/>
    </w:p>
    <w:p w14:paraId="4F05E227" w14:textId="4D744AC7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45" w:name="_Hlk125275043"/>
      <w:r w:rsidR="008F57AB" w:rsidRPr="00AA6692">
        <w:rPr>
          <w:rStyle w:val="Znakapoznpodarou"/>
          <w:highlight w:val="lightGray"/>
        </w:rPr>
        <w:footnoteReference w:id="42"/>
      </w:r>
      <w:bookmarkEnd w:id="45"/>
      <w:r w:rsidR="008F57AB">
        <w:t xml:space="preserve"> </w:t>
      </w:r>
      <w:r w:rsidRPr="00347CB3">
        <w:t>při</w:t>
      </w:r>
      <w:r w:rsidR="005A5478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</w:t>
      </w:r>
      <w:r w:rsidRPr="00A80EB8">
        <w:t xml:space="preserve">, </w:t>
      </w:r>
      <w:r w:rsidRPr="00A80EB8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lastRenderedPageBreak/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46" w:name="_Ref456361678"/>
      <w:r>
        <w:t>Komunikace v MS20</w:t>
      </w:r>
      <w:r w:rsidR="00AC5322">
        <w:t>21</w:t>
      </w:r>
      <w:r>
        <w:t>+</w:t>
      </w:r>
      <w:bookmarkEnd w:id="46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5CB9E632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802DEC">
        <w:t>ve smyslu ust.</w:t>
      </w:r>
      <w:r w:rsidR="008A1DC2">
        <w:t xml:space="preserve">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125B08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831E09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7" w:name="_Hlk125275101"/>
      <w:r w:rsidR="00FE2EC4" w:rsidRPr="00AA6692">
        <w:rPr>
          <w:rStyle w:val="Znakapoznpodarou"/>
          <w:highlight w:val="lightGray"/>
        </w:rPr>
        <w:footnoteReference w:id="43"/>
      </w:r>
      <w:bookmarkEnd w:id="47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8" w:name="_Hlk125275113"/>
      <w:r w:rsidR="00FC1ECD" w:rsidRPr="00AA6692">
        <w:rPr>
          <w:rStyle w:val="Znakapoznpodarou"/>
          <w:highlight w:val="lightGray"/>
        </w:rPr>
        <w:footnoteReference w:id="44"/>
      </w:r>
      <w:bookmarkEnd w:id="48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835FF9">
      <w:pPr>
        <w:pStyle w:val="Headline1proTP"/>
        <w:widowControl w:val="0"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45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6433815C" w14:textId="72FE11C1" w:rsidR="00FA5AE3" w:rsidRDefault="00FA5AE3" w:rsidP="00FA5AE3">
      <w:pPr>
        <w:pStyle w:val="Headline1proTP"/>
        <w:widowControl w:val="0"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46"/>
      </w:r>
    </w:p>
    <w:p w14:paraId="26F68BF4" w14:textId="7A18AFBA" w:rsidR="00FA5AE3" w:rsidRDefault="00FA5AE3" w:rsidP="00FA5AE3">
      <w:pPr>
        <w:pStyle w:val="Headline1proTP"/>
        <w:widowControl w:val="0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bookmarkStart w:id="51" w:name="_Hlk147329487"/>
      <w:r w:rsidRPr="004B0C38">
        <w:rPr>
          <w:rFonts w:eastAsia="Calibri"/>
          <w:b w:val="0"/>
          <w:highlight w:val="lightGray"/>
        </w:rPr>
        <w:t>Do 31. 12. 2023:</w:t>
      </w:r>
      <w:r>
        <w:rPr>
          <w:rStyle w:val="Znakapoznpodarou"/>
          <w:rFonts w:eastAsia="Calibri"/>
          <w:b w:val="0"/>
          <w:highlight w:val="lightGray"/>
        </w:rPr>
        <w:footnoteReference w:id="47"/>
      </w:r>
      <w:r>
        <w:rPr>
          <w:rFonts w:eastAsia="Calibri"/>
          <w:b w:val="0"/>
        </w:rPr>
        <w:t xml:space="preserve"> </w:t>
      </w:r>
      <w:bookmarkEnd w:id="51"/>
      <w:r>
        <w:rPr>
          <w:rFonts w:eastAsia="Calibri"/>
          <w:b w:val="0"/>
        </w:rPr>
        <w:t xml:space="preserve">Příjemce je povinen zajistit, aby vlastníkem příjemce </w:t>
      </w:r>
      <w:r w:rsidRPr="00146E87">
        <w:rPr>
          <w:rFonts w:eastAsia="Calibri"/>
          <w:b w:val="0"/>
        </w:rPr>
        <w:t xml:space="preserve">ani vlastníkem subjektu, </w:t>
      </w:r>
      <w:r w:rsidRPr="00146E87">
        <w:rPr>
          <w:rFonts w:eastAsia="Calibri"/>
          <w:b w:val="0"/>
        </w:rPr>
        <w:lastRenderedPageBreak/>
        <w:t>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48"/>
      </w:r>
      <w:r>
        <w:rPr>
          <w:rFonts w:eastAsia="Calibri"/>
          <w:b w:val="0"/>
        </w:rPr>
        <w:t xml:space="preserve">, nebyl </w:t>
      </w:r>
      <w:r w:rsidRPr="00E725D4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, </w:t>
      </w:r>
      <w:r w:rsidRPr="00E725D4">
        <w:rPr>
          <w:b w:val="0"/>
          <w:color w:val="000000"/>
        </w:rPr>
        <w:t>vedoucí jiného ústředního správního úřadu, v jehož čele není člen vlády</w:t>
      </w:r>
      <w:r>
        <w:rPr>
          <w:b w:val="0"/>
          <w:color w:val="000000"/>
        </w:rPr>
        <w:t xml:space="preserve"> (dále jen „veřejný funkcionář“)</w:t>
      </w:r>
      <w:r>
        <w:rPr>
          <w:rFonts w:eastAsia="Calibri"/>
          <w:b w:val="0"/>
        </w:rPr>
        <w:t xml:space="preserve">, nebo osoba ovládaná veřejným funkcionářem, pokud podíl tohoto vlastníka představuje alespoň 25 % účasti společníka v obchodní společnosti ve smyslu § 4c zákona č. 159/2006 Sb., o střetu zájmů, ve znění pozdějších předpisů. </w:t>
      </w:r>
      <w:r w:rsidRPr="009D444A">
        <w:rPr>
          <w:rFonts w:eastAsia="Calibri"/>
          <w:b w:val="0"/>
        </w:rPr>
        <w:t>Touto povinností je příjemce vázán po celou dobu realizace projektu.</w:t>
      </w:r>
    </w:p>
    <w:p w14:paraId="5B63C7D6" w14:textId="77777777" w:rsidR="00FA5AE3" w:rsidRDefault="00FA5AE3" w:rsidP="00FA5AE3">
      <w:pPr>
        <w:pStyle w:val="Headline2proTP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bookmarkStart w:id="52" w:name="_Hlk147329547"/>
      <w:bookmarkStart w:id="53" w:name="_Hlk147330136"/>
      <w:r w:rsidRPr="004B0C38">
        <w:rPr>
          <w:rFonts w:eastAsia="Calibri"/>
          <w:b w:val="0"/>
          <w:bCs/>
          <w:highlight w:val="lightGray"/>
        </w:rPr>
        <w:t>Od 1. 1. 2024:</w:t>
      </w:r>
      <w:r w:rsidRPr="004B0C38">
        <w:rPr>
          <w:rStyle w:val="Znakapoznpodarou"/>
          <w:rFonts w:eastAsia="Calibri"/>
          <w:b w:val="0"/>
          <w:highlight w:val="lightGray"/>
        </w:rPr>
        <w:footnoteReference w:id="49"/>
      </w:r>
      <w:r>
        <w:rPr>
          <w:rFonts w:eastAsia="Calibri"/>
        </w:rPr>
        <w:t xml:space="preserve">  </w:t>
      </w:r>
      <w:r w:rsidRPr="003F4ECC">
        <w:rPr>
          <w:rFonts w:eastAsia="Calibri"/>
          <w:b w:val="0"/>
        </w:rPr>
        <w:t xml:space="preserve">Příjemce je povinen 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příjemce ani </w:t>
      </w:r>
      <w:r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50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</w:t>
      </w:r>
      <w:r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  <w:bookmarkEnd w:id="52"/>
    </w:p>
    <w:bookmarkEnd w:id="53"/>
    <w:p w14:paraId="1DF63F6D" w14:textId="77777777" w:rsidR="00FA5AE3" w:rsidRDefault="00FA5AE3" w:rsidP="00FA5AE3">
      <w:pPr>
        <w:pStyle w:val="Headline1proTP"/>
        <w:numPr>
          <w:ilvl w:val="0"/>
          <w:numId w:val="0"/>
        </w:numPr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 xml:space="preserve">Příjemce je povinen bezodkladně informovat Poskytovatele dotace o změně vlastnictví, která by vedla k porušení bodu </w:t>
      </w:r>
      <w:r w:rsidRPr="0050706B">
        <w:rPr>
          <w:rFonts w:eastAsia="Calibri"/>
          <w:b w:val="0"/>
          <w:highlight w:val="lightGray"/>
        </w:rPr>
        <w:t>24.1</w:t>
      </w:r>
      <w:bookmarkStart w:id="54" w:name="_Hlk116494579"/>
      <w:r w:rsidRPr="00AA6692">
        <w:rPr>
          <w:rStyle w:val="Znakapoznpodarou"/>
          <w:rFonts w:eastAsia="Calibri"/>
          <w:b w:val="0"/>
          <w:highlight w:val="lightGray"/>
        </w:rPr>
        <w:footnoteReference w:id="51"/>
      </w:r>
      <w:bookmarkEnd w:id="54"/>
      <w:r>
        <w:rPr>
          <w:rFonts w:eastAsia="Calibri"/>
          <w:b w:val="0"/>
        </w:rPr>
        <w:t xml:space="preserve"> části II tohoto Rozhodnutí. </w:t>
      </w:r>
    </w:p>
    <w:p w14:paraId="642A1AC6" w14:textId="18D3FAFF" w:rsidR="00F03D79" w:rsidRDefault="00F03D79" w:rsidP="0071071F"/>
    <w:p w14:paraId="4F05E234" w14:textId="77777777" w:rsidR="007E09CC" w:rsidRPr="008F01FF" w:rsidRDefault="007E09CC" w:rsidP="00283E68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2F3B8838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lastRenderedPageBreak/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56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57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57"/>
      <w:r w:rsidR="00663155">
        <w:t xml:space="preserve">, </w:t>
      </w:r>
      <w:bookmarkEnd w:id="56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58" w:name="_Hlk103328195"/>
      <w:r w:rsidR="00160016" w:rsidRPr="00AA6692">
        <w:rPr>
          <w:rStyle w:val="Znakapoznpodarou"/>
          <w:spacing w:val="-4"/>
          <w:highlight w:val="lightGray"/>
        </w:rPr>
        <w:footnoteReference w:id="52"/>
      </w:r>
      <w:bookmarkEnd w:id="58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 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59" w:name="_Hlk124849267"/>
      <w:bookmarkStart w:id="60" w:name="_Hlk125038537"/>
      <w:r w:rsidR="00B53F1F" w:rsidRPr="00AA6692">
        <w:rPr>
          <w:rStyle w:val="Znakapoznpodarou"/>
          <w:highlight w:val="lightGray"/>
        </w:rPr>
        <w:footnoteReference w:id="53"/>
      </w:r>
      <w:bookmarkEnd w:id="59"/>
      <w:r w:rsidR="00C46115" w:rsidRPr="00DC1AD9">
        <w:rPr>
          <w:spacing w:val="-4"/>
          <w:highlight w:val="lightGray"/>
        </w:rPr>
        <w:t xml:space="preserve"> </w:t>
      </w:r>
      <w:bookmarkEnd w:id="60"/>
    </w:p>
    <w:p w14:paraId="33480A1B" w14:textId="78FC4F0B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61" w:name="_Hlk124849285"/>
      <w:r w:rsidR="00B53F1F" w:rsidRPr="00AA6692">
        <w:rPr>
          <w:rStyle w:val="Znakapoznpodarou"/>
          <w:highlight w:val="lightGray"/>
        </w:rPr>
        <w:footnoteReference w:id="54"/>
      </w:r>
      <w:bookmarkEnd w:id="61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62" w:name="_Hlk118995699"/>
      <w:r w:rsidR="003D5210" w:rsidRPr="00AA6692">
        <w:rPr>
          <w:rStyle w:val="Znakapoznpodarou"/>
          <w:highlight w:val="lightGray"/>
        </w:rPr>
        <w:footnoteReference w:id="55"/>
      </w:r>
      <w:bookmarkEnd w:id="62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A035B30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DCE3C26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BBF490E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B2765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B2765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</w:t>
      </w:r>
      <w:r w:rsidR="004916C2" w:rsidRPr="004916C2">
        <w:lastRenderedPageBreak/>
        <w:t xml:space="preserve">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63" w:name="_Hlk94014998"/>
    </w:p>
    <w:bookmarkEnd w:id="63"/>
    <w:p w14:paraId="3E73423F" w14:textId="3E59B573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0012FC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bookmarkStart w:id="64" w:name="_Hlk139627269"/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56"/>
      </w:r>
      <w:bookmarkEnd w:id="64"/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65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57"/>
      </w:r>
      <w:bookmarkEnd w:id="65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3DBCD202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D42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7F064F">
        <w:t xml:space="preserve"> </w:t>
      </w:r>
      <w:r w:rsidRPr="00422BE6">
        <w:t>v</w:t>
      </w:r>
      <w:r w:rsidR="007F064F">
        <w:t xml:space="preserve"> </w:t>
      </w:r>
      <w:r w:rsidRPr="00422BE6">
        <w:t>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66" w:name="_Toc405814473"/>
      <w:r w:rsidR="0008595B" w:rsidRPr="001B102B">
        <w:rPr>
          <w:vertAlign w:val="superscript"/>
        </w:rPr>
        <w:footnoteReference w:id="58"/>
      </w:r>
      <w:bookmarkEnd w:id="66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59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67" w:name="_Toc405814474"/>
      <w:bookmarkEnd w:id="6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199DEE2E" w:rsidR="00A017FA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  <w:rPr>
          <w:highlight w:val="lightGray"/>
        </w:rPr>
      </w:pPr>
      <w:r w:rsidRPr="002F5364">
        <w:rPr>
          <w:highlight w:val="lightGray"/>
        </w:rPr>
        <w:t>V případě, že dojde k porušení povinnosti předložit za každý rok realizace</w:t>
      </w:r>
      <w:r w:rsidR="00CC63E8" w:rsidRPr="002F5364">
        <w:rPr>
          <w:highlight w:val="lightGray"/>
        </w:rPr>
        <w:t>/udržitelnosti</w:t>
      </w:r>
      <w:r w:rsidRPr="002F5364">
        <w:rPr>
          <w:highlight w:val="lightGray"/>
        </w:rPr>
        <w:t xml:space="preserve"> projektu do 31.</w:t>
      </w:r>
      <w:r w:rsidR="00CC63E8" w:rsidRPr="002F5364">
        <w:rPr>
          <w:highlight w:val="lightGray"/>
        </w:rPr>
        <w:t xml:space="preserve"> </w:t>
      </w:r>
      <w:r w:rsidRPr="002F5364">
        <w:rPr>
          <w:highlight w:val="lightGray"/>
        </w:rPr>
        <w:t>7. Přehled hospodářského využití podpořených kapacit stanovené v části II, bod</w:t>
      </w:r>
      <w:r w:rsidR="00E57170" w:rsidRPr="002F5364">
        <w:rPr>
          <w:highlight w:val="lightGray"/>
        </w:rPr>
        <w:t>ě</w:t>
      </w:r>
      <w:r w:rsidRPr="002F5364">
        <w:rPr>
          <w:highlight w:val="lightGray"/>
        </w:rPr>
        <w:t xml:space="preserve"> </w:t>
      </w:r>
      <w:r w:rsidR="000012FC" w:rsidRPr="002F5364">
        <w:rPr>
          <w:highlight w:val="lightGray"/>
        </w:rPr>
        <w:t>19</w:t>
      </w:r>
      <w:r w:rsidR="00992444" w:rsidRPr="002F5364">
        <w:rPr>
          <w:highlight w:val="lightGray"/>
        </w:rPr>
        <w:t>.3</w:t>
      </w:r>
      <w:r w:rsidRPr="002F5364">
        <w:rPr>
          <w:highlight w:val="lightGray"/>
        </w:rPr>
        <w:t xml:space="preserve"> tohoto Rozhodnutí, je odvod za porušení rozpočtové kázně v</w:t>
      </w:r>
      <w:r w:rsidR="00EC09B1" w:rsidRPr="002F5364">
        <w:rPr>
          <w:highlight w:val="lightGray"/>
        </w:rPr>
        <w:t> </w:t>
      </w:r>
      <w:r w:rsidRPr="002F5364">
        <w:rPr>
          <w:highlight w:val="lightGray"/>
        </w:rPr>
        <w:t>souladu s</w:t>
      </w:r>
      <w:r w:rsidR="00EC09B1" w:rsidRPr="002F5364">
        <w:rPr>
          <w:highlight w:val="lightGray"/>
        </w:rPr>
        <w:t> </w:t>
      </w:r>
      <w:r w:rsidRPr="002F5364">
        <w:rPr>
          <w:highlight w:val="lightGray"/>
        </w:rPr>
        <w:t>ustanovením §</w:t>
      </w:r>
      <w:r w:rsidR="00EC09B1" w:rsidRPr="002F5364">
        <w:rPr>
          <w:highlight w:val="lightGray"/>
        </w:rPr>
        <w:t> 4</w:t>
      </w:r>
      <w:r w:rsidRPr="002F5364">
        <w:rPr>
          <w:highlight w:val="lightGray"/>
        </w:rPr>
        <w:t>4a odst.</w:t>
      </w:r>
      <w:r w:rsidR="006D47B0" w:rsidRPr="002F5364">
        <w:rPr>
          <w:highlight w:val="lightGray"/>
        </w:rPr>
        <w:t> </w:t>
      </w:r>
      <w:r w:rsidRPr="002F5364">
        <w:rPr>
          <w:highlight w:val="lightGray"/>
        </w:rPr>
        <w:t xml:space="preserve">4 </w:t>
      </w:r>
      <w:r w:rsidRPr="002F5364">
        <w:rPr>
          <w:highlight w:val="lightGray"/>
        </w:rPr>
        <w:lastRenderedPageBreak/>
        <w:t>písm. a) a</w:t>
      </w:r>
      <w:r w:rsidR="006D47B0" w:rsidRPr="002F5364">
        <w:rPr>
          <w:highlight w:val="lightGray"/>
        </w:rPr>
        <w:t xml:space="preserve"> </w:t>
      </w:r>
      <w:r w:rsidRPr="002F5364">
        <w:rPr>
          <w:highlight w:val="lightGray"/>
        </w:rPr>
        <w:t>v</w:t>
      </w:r>
      <w:r w:rsidR="006D47B0" w:rsidRPr="002F5364">
        <w:rPr>
          <w:highlight w:val="lightGray"/>
        </w:rPr>
        <w:t xml:space="preserve"> </w:t>
      </w:r>
      <w:r w:rsidRPr="002F5364">
        <w:rPr>
          <w:highlight w:val="lightGray"/>
        </w:rPr>
        <w:t>souladu s ustanovením § 14 odst. 5 rozpočtových pravidel stanoven za každý jednotlivý případ ve výši 10 000 Kč.</w:t>
      </w:r>
      <w:r w:rsidR="002F5364" w:rsidRPr="002F5364">
        <w:rPr>
          <w:rStyle w:val="Znakapoznpodarou"/>
          <w:highlight w:val="lightGray"/>
        </w:rPr>
        <w:footnoteReference w:id="60"/>
      </w:r>
    </w:p>
    <w:p w14:paraId="5DA3AE94" w14:textId="4C6B84CC" w:rsidR="00236B85" w:rsidRPr="00236B85" w:rsidRDefault="00236B85" w:rsidP="00236B85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68" w:name="_Hlk118996151"/>
      <w:r w:rsidRPr="00AA6692">
        <w:rPr>
          <w:rStyle w:val="Znakapoznpodarou"/>
          <w:highlight w:val="lightGray"/>
        </w:rPr>
        <w:footnoteReference w:id="61"/>
      </w:r>
      <w:r w:rsidRPr="00C5535E">
        <w:t xml:space="preserve"> </w:t>
      </w:r>
      <w:bookmarkEnd w:id="68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62"/>
      </w:r>
      <w:r w:rsidRPr="00C5535E">
        <w:t>.</w:t>
      </w:r>
      <w:bookmarkStart w:id="69" w:name="_Hlk118996267"/>
      <w:r w:rsidRPr="00AA6692">
        <w:rPr>
          <w:rStyle w:val="Znakapoznpodarou"/>
          <w:highlight w:val="lightGray"/>
        </w:rPr>
        <w:footnoteReference w:id="63"/>
      </w:r>
      <w:bookmarkEnd w:id="69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bookmarkStart w:id="70" w:name="_Hlk139627974"/>
      <w:r w:rsidR="00934DF6" w:rsidRPr="00AA6692">
        <w:rPr>
          <w:rStyle w:val="Znakapoznpodarou"/>
          <w:highlight w:val="lightGray"/>
        </w:rPr>
        <w:footnoteReference w:id="64"/>
      </w:r>
      <w:bookmarkEnd w:id="70"/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3E38DB32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A80EB8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A80EB8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F3B89E4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A80EB8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A80EB8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A80EB8">
        <w:rPr>
          <w:highlight w:val="lightGray"/>
        </w:rPr>
        <w:t>…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5A5478" w:rsidRDefault="00A13376" w:rsidP="005A5478">
      <w:pPr>
        <w:jc w:val="left"/>
        <w:rPr>
          <w:rFonts w:cs="Arial"/>
        </w:rPr>
      </w:pPr>
      <w:r w:rsidRPr="005A5478">
        <w:rPr>
          <w:rFonts w:cs="Arial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2436AC46" w14:textId="77777777" w:rsidR="00462D21" w:rsidRDefault="00462D21" w:rsidP="00C63737">
      <w:pPr>
        <w:jc w:val="left"/>
        <w:rPr>
          <w:rFonts w:cs="Arial"/>
        </w:rPr>
      </w:pPr>
    </w:p>
    <w:p w14:paraId="4F05E2D4" w14:textId="0489B640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65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560B" w14:textId="77777777" w:rsidR="006B4DD5" w:rsidRDefault="006B4DD5" w:rsidP="003365BA">
      <w:pPr>
        <w:spacing w:after="0"/>
      </w:pPr>
      <w:r>
        <w:separator/>
      </w:r>
    </w:p>
  </w:endnote>
  <w:endnote w:type="continuationSeparator" w:id="0">
    <w:p w14:paraId="530D4A46" w14:textId="77777777" w:rsidR="006B4DD5" w:rsidRDefault="006B4DD5" w:rsidP="003365BA">
      <w:pPr>
        <w:spacing w:after="0"/>
      </w:pPr>
      <w:r>
        <w:continuationSeparator/>
      </w:r>
    </w:p>
  </w:endnote>
  <w:endnote w:type="continuationNotice" w:id="1">
    <w:p w14:paraId="2586F27D" w14:textId="77777777" w:rsidR="006B4DD5" w:rsidRDefault="006B4D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E1779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9EB9" w14:textId="77777777" w:rsidR="006B4DD5" w:rsidRDefault="006B4DD5" w:rsidP="003365BA">
      <w:pPr>
        <w:spacing w:after="0"/>
      </w:pPr>
      <w:r>
        <w:separator/>
      </w:r>
    </w:p>
  </w:footnote>
  <w:footnote w:type="continuationSeparator" w:id="0">
    <w:p w14:paraId="2891408E" w14:textId="77777777" w:rsidR="006B4DD5" w:rsidRDefault="006B4DD5" w:rsidP="003365BA">
      <w:pPr>
        <w:spacing w:after="0"/>
      </w:pPr>
      <w:r>
        <w:continuationSeparator/>
      </w:r>
    </w:p>
  </w:footnote>
  <w:footnote w:type="continuationNotice" w:id="1">
    <w:p w14:paraId="5C8F3176" w14:textId="77777777" w:rsidR="006B4DD5" w:rsidRDefault="006B4DD5">
      <w:pPr>
        <w:spacing w:after="0"/>
      </w:pPr>
    </w:p>
  </w:footnote>
  <w:footnote w:id="2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18599034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4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75B8B31E" w14:textId="43961B12" w:rsidR="008151D7" w:rsidRDefault="008151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F4F22">
        <w:rPr>
          <w:highlight w:val="lightGray"/>
        </w:rPr>
        <w:t>V případě projektu financovaném v režimu GBER bude vždy uvedena 0.</w:t>
      </w:r>
      <w:r>
        <w:t xml:space="preserve"> </w:t>
      </w:r>
    </w:p>
  </w:footnote>
  <w:footnote w:id="6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05760466" w14:textId="00D1B2E5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43B8BA57" w14:textId="08468E73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0C912D83" w14:textId="77777777" w:rsidR="00FE1C16" w:rsidRPr="00AA6692" w:rsidRDefault="00FE1C16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AA6692">
        <w:rPr>
          <w:highlight w:val="lightGray"/>
        </w:rPr>
        <w:t>Odstraňte celý řádek, pokud prostředky nejsou poskytovány dle tohoto nařízení.</w:t>
      </w:r>
    </w:p>
  </w:footnote>
  <w:footnote w:id="10">
    <w:p w14:paraId="546CD548" w14:textId="3580E1B4" w:rsidR="009548EB" w:rsidRDefault="009548EB" w:rsidP="0009439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548EB">
        <w:rPr>
          <w:rStyle w:val="Znakapoznpodarou"/>
          <w:highlight w:val="lightGray"/>
        </w:rPr>
        <w:footnoteRef/>
      </w:r>
      <w:r w:rsidRPr="009548EB">
        <w:rPr>
          <w:highlight w:val="lightGray"/>
        </w:rPr>
        <w:t xml:space="preserve"> </w:t>
      </w:r>
      <w:r w:rsidR="00975520">
        <w:rPr>
          <w:highlight w:val="lightGray"/>
        </w:rPr>
        <w:tab/>
      </w:r>
      <w:r w:rsidRPr="009548EB">
        <w:rPr>
          <w:highlight w:val="lightGray"/>
        </w:rPr>
        <w:t>Doplňte číslo komplementárního projektu.</w:t>
      </w:r>
    </w:p>
  </w:footnote>
  <w:footnote w:id="11">
    <w:p w14:paraId="310B3372" w14:textId="7C293E8E" w:rsidR="00145833" w:rsidRPr="0042610B" w:rsidRDefault="00145833" w:rsidP="009548EB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</w:r>
      <w:r w:rsidR="00295947" w:rsidRPr="0057759E">
        <w:rPr>
          <w:highlight w:val="lightGray"/>
        </w:rPr>
        <w:t>U</w:t>
      </w:r>
      <w:r w:rsidRPr="0057759E">
        <w:rPr>
          <w:highlight w:val="lightGray"/>
        </w:rPr>
        <w:t xml:space="preserve"> projektů s  dobou realizace </w:t>
      </w:r>
      <w:r w:rsidR="000012FC">
        <w:rPr>
          <w:highlight w:val="lightGray"/>
        </w:rPr>
        <w:t xml:space="preserve">do </w:t>
      </w:r>
      <w:r w:rsidRPr="0057759E">
        <w:rPr>
          <w:highlight w:val="lightGray"/>
        </w:rPr>
        <w:t xml:space="preserve">30 měsíců </w:t>
      </w:r>
      <w:r w:rsidR="000012FC">
        <w:rPr>
          <w:highlight w:val="lightGray"/>
        </w:rPr>
        <w:t xml:space="preserve">(včetně) </w:t>
      </w:r>
      <w:r w:rsidRPr="0057759E">
        <w:rPr>
          <w:highlight w:val="lightGray"/>
        </w:rPr>
        <w:t>odstraňte</w:t>
      </w:r>
      <w:r w:rsidR="00865454" w:rsidRPr="0057759E">
        <w:rPr>
          <w:highlight w:val="lightGray"/>
        </w:rPr>
        <w:t xml:space="preserve"> </w:t>
      </w:r>
      <w:r w:rsidR="00295947" w:rsidRPr="0057759E">
        <w:rPr>
          <w:highlight w:val="lightGray"/>
        </w:rPr>
        <w:t xml:space="preserve">bod 4.1 </w:t>
      </w:r>
      <w:r w:rsidR="00865454" w:rsidRPr="0057759E">
        <w:rPr>
          <w:highlight w:val="lightGray"/>
        </w:rPr>
        <w:t>i s</w:t>
      </w:r>
      <w:r w:rsidR="00295947" w:rsidRPr="0057759E">
        <w:rPr>
          <w:highlight w:val="lightGray"/>
        </w:rPr>
        <w:t> </w:t>
      </w:r>
      <w:r w:rsidR="00865454" w:rsidRPr="0057759E">
        <w:rPr>
          <w:highlight w:val="lightGray"/>
        </w:rPr>
        <w:t>tabulkou</w:t>
      </w:r>
      <w:r w:rsidR="00295947" w:rsidRPr="0057759E">
        <w:rPr>
          <w:highlight w:val="lightGray"/>
        </w:rPr>
        <w:t>,</w:t>
      </w:r>
      <w:r w:rsidRPr="0057759E">
        <w:rPr>
          <w:highlight w:val="lightGray"/>
        </w:rPr>
        <w:t xml:space="preserve"> </w:t>
      </w:r>
      <w:r w:rsidR="00707751" w:rsidRPr="0057759E">
        <w:rPr>
          <w:highlight w:val="lightGray"/>
        </w:rPr>
        <w:t>další body</w:t>
      </w:r>
      <w:r w:rsidRPr="0057759E">
        <w:rPr>
          <w:highlight w:val="lightGray"/>
        </w:rPr>
        <w:t xml:space="preserve"> přečíslujte</w:t>
      </w:r>
      <w:r w:rsidR="00295947" w:rsidRPr="0057759E">
        <w:rPr>
          <w:highlight w:val="lightGray"/>
        </w:rPr>
        <w:t xml:space="preserve"> a</w:t>
      </w:r>
      <w:r w:rsidRPr="0057759E">
        <w:rPr>
          <w:highlight w:val="lightGray"/>
        </w:rPr>
        <w:t xml:space="preserve"> v části IV odstraňte bod 3.</w:t>
      </w:r>
    </w:p>
  </w:footnote>
  <w:footnote w:id="12">
    <w:p w14:paraId="431AD1E4" w14:textId="2490D782" w:rsidR="0036437D" w:rsidRPr="0057759E" w:rsidRDefault="0036437D" w:rsidP="009548EB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Pr="0057759E">
        <w:rPr>
          <w:highlight w:val="lightGray"/>
        </w:rPr>
        <w:t>Dle potřeby přidejte řádky.</w:t>
      </w:r>
    </w:p>
  </w:footnote>
  <w:footnote w:id="13">
    <w:p w14:paraId="16A5917A" w14:textId="665E713B" w:rsidR="002C1E3D" w:rsidRPr="0042610B" w:rsidRDefault="002C1E3D" w:rsidP="009548EB">
      <w:pPr>
        <w:pStyle w:val="Textpoznpodarou"/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Upravte podle délky sledovaného období.</w:t>
      </w:r>
    </w:p>
  </w:footnote>
  <w:footnote w:id="14">
    <w:p w14:paraId="7081BA35" w14:textId="1D90EBB2" w:rsidR="00A4320E" w:rsidRPr="0057759E" w:rsidRDefault="00A4320E" w:rsidP="009548EB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Pr="0057759E">
        <w:rPr>
          <w:highlight w:val="lightGray"/>
        </w:rPr>
        <w:t xml:space="preserve">Nahraďte údaji </w:t>
      </w:r>
      <w:r w:rsidR="006A5C84" w:rsidRPr="0057759E">
        <w:rPr>
          <w:highlight w:val="lightGray"/>
        </w:rPr>
        <w:t xml:space="preserve">vypočtenými </w:t>
      </w:r>
      <w:r w:rsidRPr="0057759E">
        <w:rPr>
          <w:highlight w:val="lightGray"/>
        </w:rPr>
        <w:t>z finančního plánu projektu</w:t>
      </w:r>
      <w:r w:rsidR="0078028D" w:rsidRPr="0057759E">
        <w:rPr>
          <w:highlight w:val="lightGray"/>
        </w:rPr>
        <w:t xml:space="preserve"> (postup pro výpočty milníků je uveden v PpŽP)</w:t>
      </w:r>
      <w:r w:rsidRPr="0057759E">
        <w:rPr>
          <w:highlight w:val="lightGray"/>
        </w:rPr>
        <w:t>.</w:t>
      </w:r>
    </w:p>
  </w:footnote>
  <w:footnote w:id="15">
    <w:p w14:paraId="10005AA3" w14:textId="77777777" w:rsidR="0057759E" w:rsidRPr="0099496A" w:rsidRDefault="0057759E" w:rsidP="009548EB">
      <w:pPr>
        <w:pStyle w:val="Textpoznpodarou"/>
        <w:spacing w:after="0"/>
        <w:rPr>
          <w:highlight w:val="lightGray"/>
        </w:rPr>
      </w:pPr>
      <w:r w:rsidRPr="0099496A">
        <w:rPr>
          <w:rStyle w:val="Znakapoznpodarou"/>
          <w:highlight w:val="lightGray"/>
        </w:rPr>
        <w:footnoteRef/>
      </w:r>
      <w:r w:rsidRPr="0099496A">
        <w:rPr>
          <w:highlight w:val="lightGray"/>
        </w:rPr>
        <w:t xml:space="preserve"> </w:t>
      </w:r>
      <w:r w:rsidRPr="0057759E">
        <w:rPr>
          <w:highlight w:val="lightGray"/>
        </w:rPr>
        <w:t>Celý bod odstraňte, pokud výzva neumožňuje investiční výdaje.</w:t>
      </w:r>
    </w:p>
  </w:footnote>
  <w:footnote w:id="16">
    <w:p w14:paraId="49710D81" w14:textId="3D8C7C20" w:rsidR="004F3303" w:rsidRDefault="004F3303" w:rsidP="0057759E">
      <w:pPr>
        <w:pStyle w:val="Textpoznpodarou"/>
        <w:tabs>
          <w:tab w:val="clear" w:pos="227"/>
          <w:tab w:val="left" w:pos="142"/>
        </w:tabs>
        <w:spacing w:after="0"/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="002476B8" w:rsidRPr="0057759E">
        <w:rPr>
          <w:highlight w:val="lightGray"/>
        </w:rPr>
        <w:t>Celý</w:t>
      </w:r>
      <w:r w:rsidRPr="0057759E">
        <w:rPr>
          <w:highlight w:val="lightGray"/>
        </w:rPr>
        <w:t xml:space="preserve"> bod odstraňte, pokud výzva neumož</w:t>
      </w:r>
      <w:r w:rsidR="002476B8" w:rsidRPr="0057759E">
        <w:rPr>
          <w:highlight w:val="lightGray"/>
        </w:rPr>
        <w:t>ňuje investiční výdaje.</w:t>
      </w:r>
    </w:p>
  </w:footnote>
  <w:footnote w:id="17">
    <w:p w14:paraId="0D547980" w14:textId="77777777" w:rsidR="00A137E9" w:rsidRDefault="00A137E9" w:rsidP="00A137E9">
      <w:pPr>
        <w:pStyle w:val="Textpoznpodarou"/>
        <w:tabs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a c) rozpočtových pravidel.</w:t>
      </w:r>
    </w:p>
  </w:footnote>
  <w:footnote w:id="18">
    <w:p w14:paraId="09E3DA47" w14:textId="1CF825EC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0012FC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0012FC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19">
    <w:p w14:paraId="23653ADD" w14:textId="77777777" w:rsidR="00476983" w:rsidRDefault="00476983" w:rsidP="00476983">
      <w:pPr>
        <w:pStyle w:val="Textpoznpodarou"/>
        <w:spacing w:after="0"/>
      </w:pPr>
      <w:r w:rsidRPr="00FF6195">
        <w:rPr>
          <w:rStyle w:val="Znakapoznpodarou"/>
          <w:highlight w:val="lightGray"/>
        </w:rPr>
        <w:footnoteRef/>
      </w:r>
      <w:r w:rsidRPr="00FF6195">
        <w:rPr>
          <w:highlight w:val="lightGray"/>
        </w:rPr>
        <w:t xml:space="preserve"> Doplňte číslo komplementárního projektu.</w:t>
      </w:r>
    </w:p>
  </w:footnote>
  <w:footnote w:id="20">
    <w:p w14:paraId="7D8FF9F0" w14:textId="77777777" w:rsidR="00476983" w:rsidRDefault="00476983" w:rsidP="00476983">
      <w:pPr>
        <w:pStyle w:val="Textpoznpodarou"/>
        <w:spacing w:after="0"/>
      </w:pPr>
      <w:r w:rsidRPr="00FF6195">
        <w:rPr>
          <w:rStyle w:val="Znakapoznpodarou"/>
          <w:highlight w:val="lightGray"/>
        </w:rPr>
        <w:footnoteRef/>
      </w:r>
      <w:r w:rsidRPr="00FF6195">
        <w:rPr>
          <w:highlight w:val="lightGray"/>
        </w:rPr>
        <w:t xml:space="preserve"> Doplňte číslo komplementárního projektu.</w:t>
      </w:r>
    </w:p>
  </w:footnote>
  <w:footnote w:id="21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22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23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4">
    <w:p w14:paraId="4F05E2FE" w14:textId="368EA291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A5546D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5">
    <w:p w14:paraId="34FE85D9" w14:textId="6F6A16F0" w:rsidR="00081CD0" w:rsidRDefault="00081CD0" w:rsidP="00832892">
      <w:pPr>
        <w:pStyle w:val="Textpoznpodarou"/>
        <w:spacing w:after="0"/>
      </w:pPr>
      <w:r w:rsidRPr="00832892">
        <w:rPr>
          <w:rStyle w:val="Znakapoznpodarou"/>
          <w:highlight w:val="lightGray"/>
        </w:rPr>
        <w:footnoteRef/>
      </w:r>
      <w:r w:rsidRPr="00832892">
        <w:rPr>
          <w:highlight w:val="lightGray"/>
        </w:rPr>
        <w:t xml:space="preserve"> Větu odstraňte, pokud budou prostředky poskytnuty v režimu GBER.</w:t>
      </w:r>
    </w:p>
  </w:footnote>
  <w:footnote w:id="26">
    <w:p w14:paraId="4F05E300" w14:textId="7FDCA666" w:rsidR="00B348B1" w:rsidRDefault="00B348B1" w:rsidP="00EA4281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7">
    <w:p w14:paraId="1FEE69D7" w14:textId="742A4E25" w:rsidR="00B348B1" w:rsidRDefault="00B348B1" w:rsidP="00EA4281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8">
    <w:p w14:paraId="76800CFD" w14:textId="7EA063BF" w:rsidR="00196073" w:rsidRDefault="00B348B1" w:rsidP="00EA428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9">
    <w:p w14:paraId="24630544" w14:textId="529D4D11" w:rsidR="00143361" w:rsidRDefault="00143361">
      <w:pPr>
        <w:pStyle w:val="Textpoznpodarou"/>
      </w:pPr>
      <w:r w:rsidRPr="00BF4F22">
        <w:rPr>
          <w:rStyle w:val="Znakapoznpodarou"/>
          <w:highlight w:val="lightGray"/>
        </w:rPr>
        <w:footnoteRef/>
      </w:r>
      <w:r w:rsidRPr="00BF4F22">
        <w:rPr>
          <w:highlight w:val="lightGray"/>
        </w:rPr>
        <w:t xml:space="preserve"> V případě projektu v režimu GBER přejmenujte článek na „Odečtení nezpůsobilé DPH“ a odstraňte odst. 16.1 a 16.2. Odst. 16.3 nebude očíslován.</w:t>
      </w:r>
      <w:r>
        <w:t xml:space="preserve"> </w:t>
      </w:r>
    </w:p>
  </w:footnote>
  <w:footnote w:id="30">
    <w:p w14:paraId="79C30FF4" w14:textId="3F58162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B67A31">
        <w:t xml:space="preserve"> </w:t>
      </w:r>
      <w:bookmarkStart w:id="36" w:name="_Hlk138346319"/>
      <w:r w:rsidR="00B67A31">
        <w:t>Pronájem pouze po část dne se započítává jako celý kalendářní den.</w:t>
      </w:r>
    </w:p>
    <w:bookmarkEnd w:id="36"/>
  </w:footnote>
  <w:footnote w:id="31">
    <w:p w14:paraId="790C5F37" w14:textId="1079356A" w:rsidR="00B348B1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32">
    <w:p w14:paraId="19EB978F" w14:textId="4D4BE4CE" w:rsidR="00FE1C16" w:rsidRPr="00AA6692" w:rsidRDefault="00FE1C16" w:rsidP="00FE1C16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Označený text odstraňte, pokud je celý projekt podpořen v režimu GBER.</w:t>
      </w:r>
    </w:p>
  </w:footnote>
  <w:footnote w:id="33">
    <w:p w14:paraId="3B435AEF" w14:textId="484C2B3F" w:rsidR="00B348B1" w:rsidRPr="00926295" w:rsidDel="00880235" w:rsidRDefault="00B348B1" w:rsidP="00E558ED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3E4775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>a</w:t>
      </w:r>
      <w:r w:rsidR="005A5478">
        <w:rPr>
          <w:szCs w:val="16"/>
        </w:rPr>
        <w:t> </w:t>
      </w:r>
      <w:r>
        <w:rPr>
          <w:szCs w:val="16"/>
        </w:rPr>
        <w:t xml:space="preserve">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34">
    <w:p w14:paraId="4F05E306" w14:textId="780D35D7" w:rsidR="00B348B1" w:rsidRDefault="00B348B1" w:rsidP="00E558E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5">
    <w:p w14:paraId="6128B1F9" w14:textId="7EBAAA97" w:rsidR="00E558ED" w:rsidRDefault="00E558ED" w:rsidP="00832892">
      <w:pPr>
        <w:pStyle w:val="Textpoznpodarou"/>
        <w:spacing w:after="0"/>
      </w:pPr>
      <w:r w:rsidRPr="00832892">
        <w:rPr>
          <w:rStyle w:val="Znakapoznpodarou"/>
          <w:highlight w:val="lightGray"/>
        </w:rPr>
        <w:footnoteRef/>
      </w:r>
      <w:r w:rsidRPr="00832892">
        <w:rPr>
          <w:highlight w:val="lightGray"/>
        </w:rPr>
        <w:t xml:space="preserve"> Zvolte tuto variantu a odstraňte nadpis, </w:t>
      </w:r>
      <w:r w:rsidR="005D6857">
        <w:rPr>
          <w:highlight w:val="lightGray"/>
        </w:rPr>
        <w:t>je</w:t>
      </w:r>
      <w:r w:rsidRPr="00832892">
        <w:rPr>
          <w:highlight w:val="lightGray"/>
        </w:rPr>
        <w:t xml:space="preserve">-li projekt </w:t>
      </w:r>
      <w:r w:rsidR="005D6857">
        <w:rPr>
          <w:highlight w:val="lightGray"/>
        </w:rPr>
        <w:t>podpořen mimo režim veřejné podpory</w:t>
      </w:r>
      <w:r w:rsidRPr="00832892">
        <w:rPr>
          <w:highlight w:val="lightGray"/>
        </w:rPr>
        <w:t>.</w:t>
      </w:r>
    </w:p>
  </w:footnote>
  <w:footnote w:id="36">
    <w:p w14:paraId="02B2C4A7" w14:textId="3A1E6932" w:rsidR="00B348B1" w:rsidRDefault="00B348B1" w:rsidP="00E558ED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37">
    <w:p w14:paraId="4F05E30C" w14:textId="5A2F6408" w:rsidR="00B348B1" w:rsidRPr="003509F2" w:rsidRDefault="00B348B1" w:rsidP="00E558E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90335C">
        <w:tab/>
      </w:r>
      <w:r w:rsidRPr="00F95158">
        <w:t>Vedlejší hospodářské využití – bude se jednat o takovou činnost, která přímo souvisí s provozem výzkumné organizace</w:t>
      </w:r>
      <w:r w:rsidR="00046778">
        <w:t xml:space="preserve"> </w:t>
      </w:r>
      <w:r w:rsidRPr="00F95158">
        <w:t>/</w:t>
      </w:r>
      <w:r w:rsidR="00046778">
        <w:t xml:space="preserve"> </w:t>
      </w:r>
      <w:r w:rsidRPr="00F95158">
        <w:t>výzkumné infrastruktury a je pro její provoz nezbytná či je neoddělitelně spojena s jejím hlavním nehospodářským využitím a je omezena co</w:t>
      </w:r>
      <w:r w:rsidR="005A5478">
        <w:t> </w:t>
      </w:r>
      <w:r w:rsidRPr="00F95158">
        <w:t>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8">
    <w:p w14:paraId="7D516A21" w14:textId="13FD61C5" w:rsidR="00B348B1" w:rsidRDefault="00B348B1" w:rsidP="00E558ED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39">
    <w:p w14:paraId="566974D7" w14:textId="7A9C75F7" w:rsidR="00B348B1" w:rsidRDefault="00B348B1" w:rsidP="00E558ED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highlight w:val="lightGray"/>
        </w:rPr>
        <w:t>Větu</w:t>
      </w:r>
      <w:r w:rsidR="009A0B9B" w:rsidRPr="00DC1AD9">
        <w:rPr>
          <w:highlight w:val="lightGray"/>
        </w:rPr>
        <w:t xml:space="preserve"> </w:t>
      </w:r>
      <w:r w:rsidRPr="00DC1AD9">
        <w:rPr>
          <w:highlight w:val="lightGray"/>
        </w:rPr>
        <w:t>odstraňte, pokud projekt nemá partnera.</w:t>
      </w:r>
    </w:p>
  </w:footnote>
  <w:footnote w:id="40">
    <w:p w14:paraId="2889725F" w14:textId="24183F5D" w:rsidR="00E558ED" w:rsidRDefault="00E558ED" w:rsidP="00832892">
      <w:pPr>
        <w:pStyle w:val="Textpoznpodarou"/>
        <w:spacing w:after="0"/>
      </w:pPr>
      <w:r w:rsidRPr="00832892">
        <w:rPr>
          <w:rStyle w:val="Znakapoznpodarou"/>
          <w:highlight w:val="lightGray"/>
        </w:rPr>
        <w:footnoteRef/>
      </w:r>
      <w:r w:rsidRPr="00832892">
        <w:rPr>
          <w:highlight w:val="lightGray"/>
        </w:rPr>
        <w:t xml:space="preserve"> Zvolte tuto variantu a odstraňte nadpis, je-li projekt podpo</w:t>
      </w:r>
      <w:r w:rsidR="005D6857">
        <w:rPr>
          <w:highlight w:val="lightGray"/>
        </w:rPr>
        <w:t>řen</w:t>
      </w:r>
      <w:r w:rsidRPr="00832892">
        <w:rPr>
          <w:highlight w:val="lightGray"/>
        </w:rPr>
        <w:t xml:space="preserve"> </w:t>
      </w:r>
      <w:r w:rsidR="005D6857">
        <w:rPr>
          <w:highlight w:val="lightGray"/>
        </w:rPr>
        <w:t>v režimu</w:t>
      </w:r>
      <w:r>
        <w:rPr>
          <w:highlight w:val="lightGray"/>
        </w:rPr>
        <w:t xml:space="preserve"> </w:t>
      </w:r>
      <w:r w:rsidRPr="00832892">
        <w:rPr>
          <w:highlight w:val="lightGray"/>
        </w:rPr>
        <w:t>GBER.</w:t>
      </w:r>
    </w:p>
  </w:footnote>
  <w:footnote w:id="41">
    <w:p w14:paraId="0646B9EA" w14:textId="77777777" w:rsidR="00742D88" w:rsidRPr="00AA6692" w:rsidRDefault="00742D88" w:rsidP="00E558ED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42">
    <w:p w14:paraId="4F05E312" w14:textId="779E2B78" w:rsidR="00B348B1" w:rsidRDefault="00B348B1" w:rsidP="00E558ED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3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44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45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46">
    <w:p w14:paraId="0AEBF48B" w14:textId="77777777" w:rsidR="00FA5AE3" w:rsidRPr="0050706B" w:rsidRDefault="00FA5AE3" w:rsidP="00FA5AE3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>
        <w:rPr>
          <w:highlight w:val="lightGray"/>
        </w:rPr>
        <w:tab/>
        <w:t>Celý bod odstraňte</w:t>
      </w:r>
      <w:r w:rsidRPr="00DD29FB">
        <w:rPr>
          <w:highlight w:val="lightGray"/>
        </w:rPr>
        <w:t xml:space="preserve">, pokud příjemce </w:t>
      </w:r>
      <w:r>
        <w:rPr>
          <w:highlight w:val="lightGray"/>
        </w:rPr>
        <w:t xml:space="preserve">není </w:t>
      </w:r>
      <w:bookmarkStart w:id="49" w:name="_Hlk147330226"/>
      <w:r>
        <w:rPr>
          <w:rFonts w:ascii="Calibri" w:eastAsiaTheme="minorHAnsi" w:hAnsi="Calibri" w:cstheme="minorBidi"/>
          <w:b/>
          <w:bCs/>
          <w:color w:val="080808"/>
          <w:szCs w:val="16"/>
          <w:highlight w:val="lightGray"/>
          <w:lang w:eastAsia="en-US"/>
        </w:rPr>
        <w:t xml:space="preserve">do 31.12.2023: </w:t>
      </w:r>
      <w:bookmarkEnd w:id="49"/>
      <w:r w:rsidRPr="00DD29FB">
        <w:rPr>
          <w:highlight w:val="lightGray"/>
        </w:rPr>
        <w:t>obchodní společnosti (s.r.o., v.o.s., a.s., k.s., e.s., e.h.z.s.)</w:t>
      </w:r>
      <w:r>
        <w:rPr>
          <w:highlight w:val="lightGray"/>
        </w:rPr>
        <w:t xml:space="preserve">, </w:t>
      </w:r>
      <w:bookmarkStart w:id="50" w:name="_Hlk147330242"/>
      <w:r>
        <w:rPr>
          <w:b/>
          <w:bCs/>
          <w:highlight w:val="lightGray"/>
        </w:rPr>
        <w:t xml:space="preserve">od 1.1.2024: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50"/>
      <w:r>
        <w:rPr>
          <w:highlight w:val="lightGray"/>
        </w:rPr>
        <w:t>. Zároveň odstraňte bod 11 v části IV (při odstranění bodu 3 části IV se jedná o bod 10).</w:t>
      </w:r>
    </w:p>
  </w:footnote>
  <w:footnote w:id="47">
    <w:p w14:paraId="191137F7" w14:textId="77777777" w:rsidR="00FA5AE3" w:rsidRDefault="00FA5AE3" w:rsidP="00FA5AE3">
      <w:pPr>
        <w:pStyle w:val="Textpoznpodarou"/>
        <w:spacing w:after="0"/>
      </w:pPr>
      <w:r w:rsidRPr="00BF4F22">
        <w:rPr>
          <w:rStyle w:val="Znakapoznpodarou"/>
          <w:highlight w:val="lightGray"/>
        </w:rPr>
        <w:footnoteRef/>
      </w:r>
      <w:r w:rsidRPr="00BF4F22">
        <w:rPr>
          <w:highlight w:val="lightGray"/>
        </w:rPr>
        <w:t xml:space="preserve"> Zvolte variantu </w:t>
      </w:r>
      <w:r>
        <w:rPr>
          <w:highlight w:val="lightGray"/>
        </w:rPr>
        <w:t xml:space="preserve">podle předpokládaného data vydání PA </w:t>
      </w:r>
      <w:r w:rsidRPr="00BF4F22">
        <w:rPr>
          <w:highlight w:val="lightGray"/>
        </w:rPr>
        <w:t>a zbývající variantu odstraňte.</w:t>
      </w:r>
    </w:p>
  </w:footnote>
  <w:footnote w:id="48">
    <w:p w14:paraId="449CAC70" w14:textId="77777777" w:rsidR="00FA5AE3" w:rsidRDefault="00FA5AE3" w:rsidP="00FA5AE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9">
    <w:p w14:paraId="499016E2" w14:textId="77777777" w:rsidR="00FA5AE3" w:rsidRDefault="00FA5AE3" w:rsidP="00FA5AE3">
      <w:pPr>
        <w:pStyle w:val="Textpoznpodarou"/>
        <w:spacing w:after="0"/>
      </w:pPr>
      <w:r w:rsidRPr="00BF4F22">
        <w:rPr>
          <w:rStyle w:val="Znakapoznpodarou"/>
          <w:highlight w:val="lightGray"/>
        </w:rPr>
        <w:footnoteRef/>
      </w:r>
      <w:r w:rsidRPr="00BF4F22">
        <w:rPr>
          <w:highlight w:val="lightGray"/>
        </w:rPr>
        <w:t xml:space="preserve"> Zvolte variantu podle předpokládaného data vydání PA a zbývající variantu odstraňte.</w:t>
      </w:r>
    </w:p>
  </w:footnote>
  <w:footnote w:id="50">
    <w:p w14:paraId="37CABFE8" w14:textId="77777777" w:rsidR="00FA5AE3" w:rsidRDefault="00FA5AE3" w:rsidP="00FA5AE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51">
    <w:p w14:paraId="7830FF05" w14:textId="77777777" w:rsidR="00FA5AE3" w:rsidRDefault="00FA5AE3" w:rsidP="00FA5AE3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55" w:name="_Hlk109498530"/>
      <w:r w:rsidRPr="00AA6692">
        <w:rPr>
          <w:highlight w:val="lightGray"/>
        </w:rPr>
        <w:tab/>
        <w:t>Přepište označený text na „23.1“, pokud se z bodu 24 stal bod 23 (vypuštěním původního bodu 23).</w:t>
      </w:r>
      <w:bookmarkEnd w:id="55"/>
    </w:p>
  </w:footnote>
  <w:footnote w:id="52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53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54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55">
    <w:p w14:paraId="2C9F4C9C" w14:textId="75C3C9CE" w:rsidR="003D5210" w:rsidRDefault="003D5210" w:rsidP="00157C2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</w:t>
      </w:r>
      <w:r w:rsidR="00157C28" w:rsidRPr="00AA6692">
        <w:rPr>
          <w:highlight w:val="lightGray"/>
        </w:rPr>
        <w:t>, a to i v případě, že se bodem 23 části II stal původní bod 24</w:t>
      </w:r>
      <w:r w:rsidR="00D663C9" w:rsidRPr="00AA6692">
        <w:rPr>
          <w:highlight w:val="lightGray"/>
        </w:rPr>
        <w:t>.</w:t>
      </w:r>
    </w:p>
  </w:footnote>
  <w:footnote w:id="56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57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58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59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60">
    <w:p w14:paraId="5AC71FCB" w14:textId="5B1B05B8" w:rsidR="002F5364" w:rsidRPr="002F5364" w:rsidRDefault="002F5364" w:rsidP="002F5364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835FF9">
        <w:rPr>
          <w:rStyle w:val="Znakapoznpodarou"/>
          <w:highlight w:val="lightGray"/>
        </w:rPr>
        <w:footnoteRef/>
      </w:r>
      <w:r w:rsidRPr="00835FF9">
        <w:rPr>
          <w:highlight w:val="lightGray"/>
        </w:rPr>
        <w:t xml:space="preserve"> </w:t>
      </w:r>
      <w:r w:rsidR="00335D37">
        <w:rPr>
          <w:highlight w:val="lightGray"/>
        </w:rPr>
        <w:t>Odstraňte celý bod 10 části IV, pokud byla v bodě 19.3 části II zvolena varianta B (GBER)</w:t>
      </w:r>
      <w:r>
        <w:rPr>
          <w:highlight w:val="lightGray"/>
        </w:rPr>
        <w:t>.</w:t>
      </w:r>
    </w:p>
  </w:footnote>
  <w:footnote w:id="61">
    <w:p w14:paraId="3AB7BA2D" w14:textId="77777777" w:rsidR="00236B85" w:rsidRPr="00AA6692" w:rsidRDefault="00236B85" w:rsidP="00236B8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Přepište text „24.2“ na „23.2“, pokud byl v části II bod 23 nahrazen bodem 24.</w:t>
      </w:r>
    </w:p>
  </w:footnote>
  <w:footnote w:id="62">
    <w:p w14:paraId="356E2564" w14:textId="77777777" w:rsidR="00236B85" w:rsidRPr="00AA6692" w:rsidRDefault="00236B85" w:rsidP="00236B8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  s celkovou částkou dotace vyšší než 100 000 000 Kč ponechte variantu 100 000 Kč.</w:t>
      </w:r>
    </w:p>
  </w:footnote>
  <w:footnote w:id="63">
    <w:p w14:paraId="5D9D4D62" w14:textId="77777777" w:rsidR="00236B85" w:rsidRPr="00AA6692" w:rsidRDefault="00236B85" w:rsidP="00236B85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Odstraňte bod 11 části IV, pokud byl smazán bod 24 části II jako nerelevantní. Při vypuštění bodu 3 se jedná o bod 10.</w:t>
      </w:r>
    </w:p>
  </w:footnote>
  <w:footnote w:id="64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65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E1779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E1779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16A3C0F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79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F4E22D0A"/>
    <w:lvl w:ilvl="0" w:tplc="1706AC32">
      <w:start w:val="1"/>
      <w:numFmt w:val="decimal"/>
      <w:lvlText w:val="19.%1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7A672B"/>
    <w:multiLevelType w:val="hybridMultilevel"/>
    <w:tmpl w:val="6A3E4B5E"/>
    <w:lvl w:ilvl="0" w:tplc="8B70C1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056D9"/>
    <w:multiLevelType w:val="hybridMultilevel"/>
    <w:tmpl w:val="1FB48484"/>
    <w:lvl w:ilvl="0" w:tplc="FF96E006">
      <w:start w:val="3"/>
      <w:numFmt w:val="decimal"/>
      <w:lvlText w:val="19.%1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E1D5A"/>
    <w:multiLevelType w:val="multilevel"/>
    <w:tmpl w:val="3BCA104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0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8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2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0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4"/>
  </w:num>
  <w:num w:numId="2" w16cid:durableId="1151094566">
    <w:abstractNumId w:val="48"/>
  </w:num>
  <w:num w:numId="3" w16cid:durableId="261452904">
    <w:abstractNumId w:val="48"/>
  </w:num>
  <w:num w:numId="4" w16cid:durableId="708795492">
    <w:abstractNumId w:val="40"/>
  </w:num>
  <w:num w:numId="5" w16cid:durableId="1070351032">
    <w:abstractNumId w:val="48"/>
  </w:num>
  <w:num w:numId="6" w16cid:durableId="2052147311">
    <w:abstractNumId w:val="35"/>
  </w:num>
  <w:num w:numId="7" w16cid:durableId="926769162">
    <w:abstractNumId w:val="9"/>
  </w:num>
  <w:num w:numId="8" w16cid:durableId="1242257190">
    <w:abstractNumId w:val="38"/>
  </w:num>
  <w:num w:numId="9" w16cid:durableId="282544319">
    <w:abstractNumId w:val="48"/>
  </w:num>
  <w:num w:numId="10" w16cid:durableId="1435901774">
    <w:abstractNumId w:val="29"/>
  </w:num>
  <w:num w:numId="11" w16cid:durableId="775179741">
    <w:abstractNumId w:val="81"/>
  </w:num>
  <w:num w:numId="12" w16cid:durableId="1284850428">
    <w:abstractNumId w:val="54"/>
  </w:num>
  <w:num w:numId="13" w16cid:durableId="30347103">
    <w:abstractNumId w:val="53"/>
  </w:num>
  <w:num w:numId="14" w16cid:durableId="1546067896">
    <w:abstractNumId w:val="36"/>
  </w:num>
  <w:num w:numId="15" w16cid:durableId="1184632603">
    <w:abstractNumId w:val="68"/>
  </w:num>
  <w:num w:numId="16" w16cid:durableId="1372729404">
    <w:abstractNumId w:val="39"/>
  </w:num>
  <w:num w:numId="17" w16cid:durableId="1976640693">
    <w:abstractNumId w:val="73"/>
  </w:num>
  <w:num w:numId="18" w16cid:durableId="14241096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6"/>
  </w:num>
  <w:num w:numId="25" w16cid:durableId="1338581790">
    <w:abstractNumId w:val="19"/>
  </w:num>
  <w:num w:numId="26" w16cid:durableId="3025871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20"/>
  </w:num>
  <w:num w:numId="29" w16cid:durableId="111874438">
    <w:abstractNumId w:val="69"/>
  </w:num>
  <w:num w:numId="30" w16cid:durableId="317272424">
    <w:abstractNumId w:val="22"/>
  </w:num>
  <w:num w:numId="31" w16cid:durableId="1356686786">
    <w:abstractNumId w:val="0"/>
  </w:num>
  <w:num w:numId="32" w16cid:durableId="451284479">
    <w:abstractNumId w:val="75"/>
  </w:num>
  <w:num w:numId="33" w16cid:durableId="830486301">
    <w:abstractNumId w:val="59"/>
  </w:num>
  <w:num w:numId="34" w16cid:durableId="690649398">
    <w:abstractNumId w:val="67"/>
  </w:num>
  <w:num w:numId="35" w16cid:durableId="111680200">
    <w:abstractNumId w:val="18"/>
  </w:num>
  <w:num w:numId="36" w16cid:durableId="259027590">
    <w:abstractNumId w:val="47"/>
  </w:num>
  <w:num w:numId="37" w16cid:durableId="1466972327">
    <w:abstractNumId w:val="48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5"/>
  </w:num>
  <w:num w:numId="40" w16cid:durableId="1097945873">
    <w:abstractNumId w:val="37"/>
  </w:num>
  <w:num w:numId="41" w16cid:durableId="937637883">
    <w:abstractNumId w:val="21"/>
  </w:num>
  <w:num w:numId="42" w16cid:durableId="1102795901">
    <w:abstractNumId w:val="27"/>
  </w:num>
  <w:num w:numId="43" w16cid:durableId="702440801">
    <w:abstractNumId w:val="17"/>
  </w:num>
  <w:num w:numId="44" w16cid:durableId="586772159">
    <w:abstractNumId w:val="79"/>
  </w:num>
  <w:num w:numId="45" w16cid:durableId="1424570172">
    <w:abstractNumId w:val="14"/>
  </w:num>
  <w:num w:numId="46" w16cid:durableId="1698702623">
    <w:abstractNumId w:val="71"/>
  </w:num>
  <w:num w:numId="47" w16cid:durableId="1670282421">
    <w:abstractNumId w:val="63"/>
  </w:num>
  <w:num w:numId="48" w16cid:durableId="689844475">
    <w:abstractNumId w:val="74"/>
  </w:num>
  <w:num w:numId="49" w16cid:durableId="804156987">
    <w:abstractNumId w:val="58"/>
  </w:num>
  <w:num w:numId="50" w16cid:durableId="1435633263">
    <w:abstractNumId w:val="30"/>
  </w:num>
  <w:num w:numId="51" w16cid:durableId="1956060877">
    <w:abstractNumId w:val="70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8"/>
    <w:lvlOverride w:ilvl="0">
      <w:startOverride w:val="1"/>
    </w:lvlOverride>
    <w:lvlOverride w:ilvl="1">
      <w:startOverride w:val="1"/>
    </w:lvlOverride>
  </w:num>
  <w:num w:numId="55" w16cid:durableId="1971743884">
    <w:abstractNumId w:val="26"/>
  </w:num>
  <w:num w:numId="56" w16cid:durableId="859659183">
    <w:abstractNumId w:val="48"/>
  </w:num>
  <w:num w:numId="57" w16cid:durableId="541211707">
    <w:abstractNumId w:val="77"/>
  </w:num>
  <w:num w:numId="58" w16cid:durableId="80109024">
    <w:abstractNumId w:val="48"/>
  </w:num>
  <w:num w:numId="59" w16cid:durableId="295599964">
    <w:abstractNumId w:val="42"/>
  </w:num>
  <w:num w:numId="60" w16cid:durableId="1749303949">
    <w:abstractNumId w:val="61"/>
  </w:num>
  <w:num w:numId="61" w16cid:durableId="309360097">
    <w:abstractNumId w:val="7"/>
  </w:num>
  <w:num w:numId="62" w16cid:durableId="938562828">
    <w:abstractNumId w:val="62"/>
  </w:num>
  <w:num w:numId="63" w16cid:durableId="355467525">
    <w:abstractNumId w:val="49"/>
  </w:num>
  <w:num w:numId="64" w16cid:durableId="1500347034">
    <w:abstractNumId w:val="44"/>
  </w:num>
  <w:num w:numId="65" w16cid:durableId="757410255">
    <w:abstractNumId w:val="28"/>
  </w:num>
  <w:num w:numId="66" w16cid:durableId="14429939">
    <w:abstractNumId w:val="46"/>
  </w:num>
  <w:num w:numId="67" w16cid:durableId="1471702814">
    <w:abstractNumId w:val="23"/>
  </w:num>
  <w:num w:numId="68" w16cid:durableId="1931621095">
    <w:abstractNumId w:val="78"/>
  </w:num>
  <w:num w:numId="69" w16cid:durableId="869420292">
    <w:abstractNumId w:val="50"/>
  </w:num>
  <w:num w:numId="70" w16cid:durableId="71435776">
    <w:abstractNumId w:val="45"/>
  </w:num>
  <w:num w:numId="71" w16cid:durableId="249049034">
    <w:abstractNumId w:val="15"/>
  </w:num>
  <w:num w:numId="72" w16cid:durableId="461196014">
    <w:abstractNumId w:val="43"/>
  </w:num>
  <w:num w:numId="73" w16cid:durableId="1956017066">
    <w:abstractNumId w:val="12"/>
  </w:num>
  <w:num w:numId="74" w16cid:durableId="2060006351">
    <w:abstractNumId w:val="34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2"/>
  </w:num>
  <w:num w:numId="78" w16cid:durableId="1907371456">
    <w:abstractNumId w:val="60"/>
  </w:num>
  <w:num w:numId="79" w16cid:durableId="1846284508">
    <w:abstractNumId w:val="5"/>
  </w:num>
  <w:num w:numId="80" w16cid:durableId="923032838">
    <w:abstractNumId w:val="82"/>
  </w:num>
  <w:num w:numId="81" w16cid:durableId="480272103">
    <w:abstractNumId w:val="11"/>
  </w:num>
  <w:num w:numId="82" w16cid:durableId="358891413">
    <w:abstractNumId w:val="72"/>
  </w:num>
  <w:num w:numId="83" w16cid:durableId="2045788031">
    <w:abstractNumId w:val="24"/>
  </w:num>
  <w:num w:numId="84" w16cid:durableId="690381739">
    <w:abstractNumId w:val="65"/>
  </w:num>
  <w:num w:numId="85" w16cid:durableId="599993559">
    <w:abstractNumId w:val="76"/>
  </w:num>
  <w:num w:numId="86" w16cid:durableId="1391728836">
    <w:abstractNumId w:val="51"/>
  </w:num>
  <w:num w:numId="87" w16cid:durableId="1037512618">
    <w:abstractNumId w:val="52"/>
  </w:num>
  <w:num w:numId="88" w16cid:durableId="570774481">
    <w:abstractNumId w:val="25"/>
  </w:num>
  <w:num w:numId="89" w16cid:durableId="1773549032">
    <w:abstractNumId w:val="31"/>
  </w:num>
  <w:num w:numId="90" w16cid:durableId="1221285487">
    <w:abstractNumId w:val="13"/>
  </w:num>
  <w:num w:numId="91" w16cid:durableId="199589847">
    <w:abstractNumId w:val="33"/>
  </w:num>
  <w:num w:numId="92" w16cid:durableId="1862742552">
    <w:abstractNumId w:val="6"/>
  </w:num>
  <w:num w:numId="93" w16cid:durableId="814376012">
    <w:abstractNumId w:val="57"/>
  </w:num>
  <w:num w:numId="94" w16cid:durableId="1871648355">
    <w:abstractNumId w:val="80"/>
  </w:num>
  <w:num w:numId="95" w16cid:durableId="1019166453">
    <w:abstractNumId w:val="2"/>
  </w:num>
  <w:num w:numId="96" w16cid:durableId="2107461091">
    <w:abstractNumId w:val="41"/>
  </w:num>
  <w:num w:numId="97" w16cid:durableId="151009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351733261">
    <w:abstractNumId w:val="66"/>
  </w:num>
  <w:num w:numId="99" w16cid:durableId="1184244915">
    <w:abstractNumId w:val="1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0B0"/>
    <w:rsid w:val="0000065B"/>
    <w:rsid w:val="000010C3"/>
    <w:rsid w:val="000012FC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27F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2C32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2DD"/>
    <w:rsid w:val="0003055D"/>
    <w:rsid w:val="00030703"/>
    <w:rsid w:val="000309DE"/>
    <w:rsid w:val="00030CA2"/>
    <w:rsid w:val="00030E04"/>
    <w:rsid w:val="00030EEE"/>
    <w:rsid w:val="00033397"/>
    <w:rsid w:val="0003372A"/>
    <w:rsid w:val="00033D99"/>
    <w:rsid w:val="00034AF2"/>
    <w:rsid w:val="000350E6"/>
    <w:rsid w:val="00035108"/>
    <w:rsid w:val="0003569B"/>
    <w:rsid w:val="00035AA2"/>
    <w:rsid w:val="000368C3"/>
    <w:rsid w:val="00036CA0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35"/>
    <w:rsid w:val="00041D8D"/>
    <w:rsid w:val="00041EF1"/>
    <w:rsid w:val="000423D8"/>
    <w:rsid w:val="00043669"/>
    <w:rsid w:val="000443C5"/>
    <w:rsid w:val="000449BC"/>
    <w:rsid w:val="000465DC"/>
    <w:rsid w:val="00046778"/>
    <w:rsid w:val="0004777E"/>
    <w:rsid w:val="000479F4"/>
    <w:rsid w:val="000501DD"/>
    <w:rsid w:val="000512D5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6D96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1CD0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399"/>
    <w:rsid w:val="000944C1"/>
    <w:rsid w:val="00094AE4"/>
    <w:rsid w:val="00094AFB"/>
    <w:rsid w:val="0009624D"/>
    <w:rsid w:val="0009626D"/>
    <w:rsid w:val="00096E70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3BA7"/>
    <w:rsid w:val="000B453B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782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D54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B08"/>
    <w:rsid w:val="00126874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93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1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4B5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C28"/>
    <w:rsid w:val="00157EF1"/>
    <w:rsid w:val="00160016"/>
    <w:rsid w:val="00160134"/>
    <w:rsid w:val="00160721"/>
    <w:rsid w:val="001610FC"/>
    <w:rsid w:val="00161167"/>
    <w:rsid w:val="001613D6"/>
    <w:rsid w:val="00161E75"/>
    <w:rsid w:val="00162236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F02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1D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145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E3C"/>
    <w:rsid w:val="001E260F"/>
    <w:rsid w:val="001E26BF"/>
    <w:rsid w:val="001E289E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796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4C2E"/>
    <w:rsid w:val="00205303"/>
    <w:rsid w:val="00205639"/>
    <w:rsid w:val="00205972"/>
    <w:rsid w:val="00205D64"/>
    <w:rsid w:val="0020628D"/>
    <w:rsid w:val="00206CA9"/>
    <w:rsid w:val="002073C6"/>
    <w:rsid w:val="002115C1"/>
    <w:rsid w:val="00211EDE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4FFC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85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6E22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3E68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26EF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3CC"/>
    <w:rsid w:val="002C7CEF"/>
    <w:rsid w:val="002C7F2A"/>
    <w:rsid w:val="002D0534"/>
    <w:rsid w:val="002D07D8"/>
    <w:rsid w:val="002D09FB"/>
    <w:rsid w:val="002D0F7E"/>
    <w:rsid w:val="002D100A"/>
    <w:rsid w:val="002D1FC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483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3FF7"/>
    <w:rsid w:val="002F4403"/>
    <w:rsid w:val="002F4464"/>
    <w:rsid w:val="002F4873"/>
    <w:rsid w:val="002F4D09"/>
    <w:rsid w:val="002F4D41"/>
    <w:rsid w:val="002F4F36"/>
    <w:rsid w:val="002F4F38"/>
    <w:rsid w:val="002F5364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4118"/>
    <w:rsid w:val="00304F58"/>
    <w:rsid w:val="003058D0"/>
    <w:rsid w:val="00305E40"/>
    <w:rsid w:val="00305EBF"/>
    <w:rsid w:val="00307016"/>
    <w:rsid w:val="00307E87"/>
    <w:rsid w:val="0031018A"/>
    <w:rsid w:val="003104BC"/>
    <w:rsid w:val="00310736"/>
    <w:rsid w:val="00311474"/>
    <w:rsid w:val="00311FE6"/>
    <w:rsid w:val="00312063"/>
    <w:rsid w:val="00312ACD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5D37"/>
    <w:rsid w:val="00336216"/>
    <w:rsid w:val="003363EC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25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C32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D70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21B"/>
    <w:rsid w:val="003873AC"/>
    <w:rsid w:val="003875B2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D30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D8F"/>
    <w:rsid w:val="003B1EC1"/>
    <w:rsid w:val="003B23EA"/>
    <w:rsid w:val="003B243B"/>
    <w:rsid w:val="003B246E"/>
    <w:rsid w:val="003B3375"/>
    <w:rsid w:val="003B3926"/>
    <w:rsid w:val="003B3B7D"/>
    <w:rsid w:val="003B3CE3"/>
    <w:rsid w:val="003B408E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25E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750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8D1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1A9"/>
    <w:rsid w:val="004034E4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9FF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10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244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42E"/>
    <w:rsid w:val="0044293B"/>
    <w:rsid w:val="00442B92"/>
    <w:rsid w:val="00442D2D"/>
    <w:rsid w:val="00443219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2D21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5F19"/>
    <w:rsid w:val="0047695A"/>
    <w:rsid w:val="00476983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820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785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4DB3"/>
    <w:rsid w:val="004E50F5"/>
    <w:rsid w:val="004E5412"/>
    <w:rsid w:val="004E5F41"/>
    <w:rsid w:val="004E638D"/>
    <w:rsid w:val="004E63E9"/>
    <w:rsid w:val="004E7276"/>
    <w:rsid w:val="004E7C61"/>
    <w:rsid w:val="004F0714"/>
    <w:rsid w:val="004F0CD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8FA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5B2C"/>
    <w:rsid w:val="00526762"/>
    <w:rsid w:val="0052678F"/>
    <w:rsid w:val="00526EEF"/>
    <w:rsid w:val="005300A6"/>
    <w:rsid w:val="00530210"/>
    <w:rsid w:val="005304E0"/>
    <w:rsid w:val="00531084"/>
    <w:rsid w:val="0053121E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7C1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4A79"/>
    <w:rsid w:val="005751F1"/>
    <w:rsid w:val="0057541C"/>
    <w:rsid w:val="005759CC"/>
    <w:rsid w:val="005759FF"/>
    <w:rsid w:val="005764B7"/>
    <w:rsid w:val="00576A24"/>
    <w:rsid w:val="00577143"/>
    <w:rsid w:val="0057759E"/>
    <w:rsid w:val="0058002C"/>
    <w:rsid w:val="005803BD"/>
    <w:rsid w:val="00581107"/>
    <w:rsid w:val="00581DD9"/>
    <w:rsid w:val="00581ECB"/>
    <w:rsid w:val="00582359"/>
    <w:rsid w:val="005832AB"/>
    <w:rsid w:val="0058404C"/>
    <w:rsid w:val="0058425A"/>
    <w:rsid w:val="0058440A"/>
    <w:rsid w:val="00584DDA"/>
    <w:rsid w:val="00584E88"/>
    <w:rsid w:val="0058527A"/>
    <w:rsid w:val="005857BF"/>
    <w:rsid w:val="00585991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295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A2"/>
    <w:rsid w:val="005A47B1"/>
    <w:rsid w:val="005A4BD0"/>
    <w:rsid w:val="005A4E89"/>
    <w:rsid w:val="005A50A3"/>
    <w:rsid w:val="005A5478"/>
    <w:rsid w:val="005A5940"/>
    <w:rsid w:val="005A5C86"/>
    <w:rsid w:val="005A6905"/>
    <w:rsid w:val="005A72C9"/>
    <w:rsid w:val="005A7A55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974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05F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57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3A6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AAA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8D0"/>
    <w:rsid w:val="00645ACA"/>
    <w:rsid w:val="00645C4B"/>
    <w:rsid w:val="006464C7"/>
    <w:rsid w:val="00647C7A"/>
    <w:rsid w:val="00650C7C"/>
    <w:rsid w:val="00651298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0D53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BC2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11C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4DD5"/>
    <w:rsid w:val="006B5717"/>
    <w:rsid w:val="006B6E4C"/>
    <w:rsid w:val="006B7D8B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A62"/>
    <w:rsid w:val="006C7E20"/>
    <w:rsid w:val="006D0B23"/>
    <w:rsid w:val="006D0D23"/>
    <w:rsid w:val="006D0EC4"/>
    <w:rsid w:val="006D1001"/>
    <w:rsid w:val="006D10D7"/>
    <w:rsid w:val="006D18A1"/>
    <w:rsid w:val="006D212D"/>
    <w:rsid w:val="006D2647"/>
    <w:rsid w:val="006D2AA5"/>
    <w:rsid w:val="006D2B6D"/>
    <w:rsid w:val="006D2DEC"/>
    <w:rsid w:val="006D2F30"/>
    <w:rsid w:val="006D32C1"/>
    <w:rsid w:val="006D3F8F"/>
    <w:rsid w:val="006D45A8"/>
    <w:rsid w:val="006D47B0"/>
    <w:rsid w:val="006D4919"/>
    <w:rsid w:val="006D4D2D"/>
    <w:rsid w:val="006D50BA"/>
    <w:rsid w:val="006D5111"/>
    <w:rsid w:val="006D5D52"/>
    <w:rsid w:val="006D5EC9"/>
    <w:rsid w:val="006D6354"/>
    <w:rsid w:val="006D66E3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6D4A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745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3F09"/>
    <w:rsid w:val="0072455C"/>
    <w:rsid w:val="007246FA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15D"/>
    <w:rsid w:val="0073524E"/>
    <w:rsid w:val="00735A65"/>
    <w:rsid w:val="007361DF"/>
    <w:rsid w:val="00736522"/>
    <w:rsid w:val="00736BAB"/>
    <w:rsid w:val="00736ED0"/>
    <w:rsid w:val="0073758E"/>
    <w:rsid w:val="0073782A"/>
    <w:rsid w:val="00737B1D"/>
    <w:rsid w:val="00737C4C"/>
    <w:rsid w:val="00737D72"/>
    <w:rsid w:val="007408AF"/>
    <w:rsid w:val="00741315"/>
    <w:rsid w:val="00741B18"/>
    <w:rsid w:val="00741B3F"/>
    <w:rsid w:val="007421BD"/>
    <w:rsid w:val="00742638"/>
    <w:rsid w:val="0074271A"/>
    <w:rsid w:val="00742740"/>
    <w:rsid w:val="007427F8"/>
    <w:rsid w:val="00742D8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ACF"/>
    <w:rsid w:val="00752CB1"/>
    <w:rsid w:val="0075325A"/>
    <w:rsid w:val="00753D5A"/>
    <w:rsid w:val="00753D6A"/>
    <w:rsid w:val="00753E7D"/>
    <w:rsid w:val="00753F04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0762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DF0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BAA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4E9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0B81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1EA"/>
    <w:rsid w:val="007C324E"/>
    <w:rsid w:val="007C35AA"/>
    <w:rsid w:val="007C35F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20A"/>
    <w:rsid w:val="007C799B"/>
    <w:rsid w:val="007D00FF"/>
    <w:rsid w:val="007D0117"/>
    <w:rsid w:val="007D13CB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064F"/>
    <w:rsid w:val="007F13CF"/>
    <w:rsid w:val="007F13EA"/>
    <w:rsid w:val="007F16BD"/>
    <w:rsid w:val="007F1DE9"/>
    <w:rsid w:val="007F20F2"/>
    <w:rsid w:val="007F289F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9AD"/>
    <w:rsid w:val="00801B89"/>
    <w:rsid w:val="00801C31"/>
    <w:rsid w:val="00802271"/>
    <w:rsid w:val="00802989"/>
    <w:rsid w:val="00802DEC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1D7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25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346"/>
    <w:rsid w:val="00831A21"/>
    <w:rsid w:val="00831E09"/>
    <w:rsid w:val="00832090"/>
    <w:rsid w:val="00832760"/>
    <w:rsid w:val="00832892"/>
    <w:rsid w:val="00832D34"/>
    <w:rsid w:val="008337C1"/>
    <w:rsid w:val="00833CEF"/>
    <w:rsid w:val="00834028"/>
    <w:rsid w:val="008342D4"/>
    <w:rsid w:val="00834EB2"/>
    <w:rsid w:val="00835595"/>
    <w:rsid w:val="00835FF9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538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6AD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1DC2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2FD3"/>
    <w:rsid w:val="008C39DC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32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06EB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384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8EB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4191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BE2"/>
    <w:rsid w:val="009751DB"/>
    <w:rsid w:val="0097521D"/>
    <w:rsid w:val="00975520"/>
    <w:rsid w:val="00975FB3"/>
    <w:rsid w:val="0097606B"/>
    <w:rsid w:val="00976FCE"/>
    <w:rsid w:val="00977556"/>
    <w:rsid w:val="0097765B"/>
    <w:rsid w:val="00977A07"/>
    <w:rsid w:val="00977BD4"/>
    <w:rsid w:val="0098023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3F4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B7A6C"/>
    <w:rsid w:val="009C0623"/>
    <w:rsid w:val="009C0DD0"/>
    <w:rsid w:val="009C14B8"/>
    <w:rsid w:val="009C15E5"/>
    <w:rsid w:val="009C22C9"/>
    <w:rsid w:val="009C28F7"/>
    <w:rsid w:val="009C3315"/>
    <w:rsid w:val="009C485E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158D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7E9"/>
    <w:rsid w:val="00A13B48"/>
    <w:rsid w:val="00A14BA7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93E"/>
    <w:rsid w:val="00A47B0C"/>
    <w:rsid w:val="00A47F9E"/>
    <w:rsid w:val="00A50556"/>
    <w:rsid w:val="00A522FD"/>
    <w:rsid w:val="00A5318D"/>
    <w:rsid w:val="00A536AF"/>
    <w:rsid w:val="00A53F9F"/>
    <w:rsid w:val="00A5546D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EDB"/>
    <w:rsid w:val="00A63FEE"/>
    <w:rsid w:val="00A64822"/>
    <w:rsid w:val="00A657FB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0EB8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3DB5"/>
    <w:rsid w:val="00A941DD"/>
    <w:rsid w:val="00A944B8"/>
    <w:rsid w:val="00A95B93"/>
    <w:rsid w:val="00A9621B"/>
    <w:rsid w:val="00A9699A"/>
    <w:rsid w:val="00A96E22"/>
    <w:rsid w:val="00A973FB"/>
    <w:rsid w:val="00AA1155"/>
    <w:rsid w:val="00AA143A"/>
    <w:rsid w:val="00AA15B4"/>
    <w:rsid w:val="00AA1A0F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A71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0E15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652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FC2"/>
    <w:rsid w:val="00AF242E"/>
    <w:rsid w:val="00AF2AB9"/>
    <w:rsid w:val="00AF3F6F"/>
    <w:rsid w:val="00AF6D76"/>
    <w:rsid w:val="00AF7398"/>
    <w:rsid w:val="00AF789E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24C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2BA"/>
    <w:rsid w:val="00B21A96"/>
    <w:rsid w:val="00B2234D"/>
    <w:rsid w:val="00B223E8"/>
    <w:rsid w:val="00B22B92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65F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0E8B"/>
    <w:rsid w:val="00B5238B"/>
    <w:rsid w:val="00B52547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E2"/>
    <w:rsid w:val="00B62069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A31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2F62"/>
    <w:rsid w:val="00B831CE"/>
    <w:rsid w:val="00B844DC"/>
    <w:rsid w:val="00B848F1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1DD8"/>
    <w:rsid w:val="00BA254C"/>
    <w:rsid w:val="00BA289C"/>
    <w:rsid w:val="00BA2DD8"/>
    <w:rsid w:val="00BA39E1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A26"/>
    <w:rsid w:val="00BB3DBA"/>
    <w:rsid w:val="00BB3E3E"/>
    <w:rsid w:val="00BB3E64"/>
    <w:rsid w:val="00BB4F3C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8EA"/>
    <w:rsid w:val="00BC6AF4"/>
    <w:rsid w:val="00BC762E"/>
    <w:rsid w:val="00BC78DB"/>
    <w:rsid w:val="00BC7AF5"/>
    <w:rsid w:val="00BC7B10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6EC"/>
    <w:rsid w:val="00BF0E05"/>
    <w:rsid w:val="00BF0EDD"/>
    <w:rsid w:val="00BF1A49"/>
    <w:rsid w:val="00BF1B8F"/>
    <w:rsid w:val="00BF2011"/>
    <w:rsid w:val="00BF270F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4F22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0FB7"/>
    <w:rsid w:val="00C01773"/>
    <w:rsid w:val="00C01856"/>
    <w:rsid w:val="00C028F8"/>
    <w:rsid w:val="00C02970"/>
    <w:rsid w:val="00C02B28"/>
    <w:rsid w:val="00C02C52"/>
    <w:rsid w:val="00C02E5D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6AAD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4F7E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99D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5F58"/>
    <w:rsid w:val="00C7603F"/>
    <w:rsid w:val="00C760F7"/>
    <w:rsid w:val="00C762F3"/>
    <w:rsid w:val="00C76942"/>
    <w:rsid w:val="00C771C9"/>
    <w:rsid w:val="00C773EE"/>
    <w:rsid w:val="00C802EB"/>
    <w:rsid w:val="00C805B9"/>
    <w:rsid w:val="00C80B9B"/>
    <w:rsid w:val="00C80EEA"/>
    <w:rsid w:val="00C81B0C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3DD"/>
    <w:rsid w:val="00C955EB"/>
    <w:rsid w:val="00C959D0"/>
    <w:rsid w:val="00C95DCF"/>
    <w:rsid w:val="00C95FFE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740"/>
    <w:rsid w:val="00CA7A20"/>
    <w:rsid w:val="00CB05B1"/>
    <w:rsid w:val="00CB0626"/>
    <w:rsid w:val="00CB0BBB"/>
    <w:rsid w:val="00CB0F00"/>
    <w:rsid w:val="00CB1436"/>
    <w:rsid w:val="00CB1572"/>
    <w:rsid w:val="00CB16B7"/>
    <w:rsid w:val="00CB2204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DE6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210"/>
    <w:rsid w:val="00CD4C75"/>
    <w:rsid w:val="00CD4D83"/>
    <w:rsid w:val="00CD50AF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6E06"/>
    <w:rsid w:val="00D07598"/>
    <w:rsid w:val="00D10592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964"/>
    <w:rsid w:val="00D15AB0"/>
    <w:rsid w:val="00D15AD3"/>
    <w:rsid w:val="00D16D3B"/>
    <w:rsid w:val="00D17945"/>
    <w:rsid w:val="00D200F6"/>
    <w:rsid w:val="00D20370"/>
    <w:rsid w:val="00D20962"/>
    <w:rsid w:val="00D20E6F"/>
    <w:rsid w:val="00D21A5B"/>
    <w:rsid w:val="00D21C41"/>
    <w:rsid w:val="00D21E25"/>
    <w:rsid w:val="00D21FA6"/>
    <w:rsid w:val="00D21FBC"/>
    <w:rsid w:val="00D21FE2"/>
    <w:rsid w:val="00D2200C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4AA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6509"/>
    <w:rsid w:val="00D87B47"/>
    <w:rsid w:val="00D87B7C"/>
    <w:rsid w:val="00D87EF5"/>
    <w:rsid w:val="00D90965"/>
    <w:rsid w:val="00D91697"/>
    <w:rsid w:val="00D917A5"/>
    <w:rsid w:val="00D9262C"/>
    <w:rsid w:val="00D926C8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B3F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D7450"/>
    <w:rsid w:val="00DD7B24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EC"/>
    <w:rsid w:val="00E13ECE"/>
    <w:rsid w:val="00E15B42"/>
    <w:rsid w:val="00E160B5"/>
    <w:rsid w:val="00E160F6"/>
    <w:rsid w:val="00E162B3"/>
    <w:rsid w:val="00E16E92"/>
    <w:rsid w:val="00E1737B"/>
    <w:rsid w:val="00E17778"/>
    <w:rsid w:val="00E17790"/>
    <w:rsid w:val="00E179CC"/>
    <w:rsid w:val="00E2005E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278BE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24E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7DD"/>
    <w:rsid w:val="00E409D4"/>
    <w:rsid w:val="00E40ED0"/>
    <w:rsid w:val="00E4257F"/>
    <w:rsid w:val="00E426EF"/>
    <w:rsid w:val="00E42B6C"/>
    <w:rsid w:val="00E42B8B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4E1"/>
    <w:rsid w:val="00E54CAA"/>
    <w:rsid w:val="00E5509A"/>
    <w:rsid w:val="00E55218"/>
    <w:rsid w:val="00E556A1"/>
    <w:rsid w:val="00E558ED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2FB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754"/>
    <w:rsid w:val="00E75804"/>
    <w:rsid w:val="00E75EBC"/>
    <w:rsid w:val="00E76457"/>
    <w:rsid w:val="00E76B69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1C46"/>
    <w:rsid w:val="00EA3AF7"/>
    <w:rsid w:val="00EA3C74"/>
    <w:rsid w:val="00EA3DED"/>
    <w:rsid w:val="00EA4281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327"/>
    <w:rsid w:val="00EB6C86"/>
    <w:rsid w:val="00EB6EB4"/>
    <w:rsid w:val="00EB701F"/>
    <w:rsid w:val="00EB75DE"/>
    <w:rsid w:val="00EB7921"/>
    <w:rsid w:val="00EB7E03"/>
    <w:rsid w:val="00EC011D"/>
    <w:rsid w:val="00EC09B1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7E4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6DFB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1A8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DF1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097C"/>
    <w:rsid w:val="00F6213D"/>
    <w:rsid w:val="00F621CD"/>
    <w:rsid w:val="00F62496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4FE9"/>
    <w:rsid w:val="00F650F4"/>
    <w:rsid w:val="00F65B35"/>
    <w:rsid w:val="00F66FB6"/>
    <w:rsid w:val="00F6711B"/>
    <w:rsid w:val="00F67F7E"/>
    <w:rsid w:val="00F70169"/>
    <w:rsid w:val="00F70181"/>
    <w:rsid w:val="00F707A1"/>
    <w:rsid w:val="00F711AF"/>
    <w:rsid w:val="00F71628"/>
    <w:rsid w:val="00F71CD9"/>
    <w:rsid w:val="00F72554"/>
    <w:rsid w:val="00F729A3"/>
    <w:rsid w:val="00F72EE4"/>
    <w:rsid w:val="00F7306F"/>
    <w:rsid w:val="00F73D82"/>
    <w:rsid w:val="00F74A31"/>
    <w:rsid w:val="00F74AF3"/>
    <w:rsid w:val="00F7588B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353F"/>
    <w:rsid w:val="00FA451F"/>
    <w:rsid w:val="00FA4B2A"/>
    <w:rsid w:val="00FA4C23"/>
    <w:rsid w:val="00FA4EDE"/>
    <w:rsid w:val="00FA4FEA"/>
    <w:rsid w:val="00FA5AE3"/>
    <w:rsid w:val="00FA62B9"/>
    <w:rsid w:val="00FA6388"/>
    <w:rsid w:val="00FA7CCB"/>
    <w:rsid w:val="00FB0F3F"/>
    <w:rsid w:val="00FB13FE"/>
    <w:rsid w:val="00FB1645"/>
    <w:rsid w:val="00FB225C"/>
    <w:rsid w:val="00FB2478"/>
    <w:rsid w:val="00FB2693"/>
    <w:rsid w:val="00FB2BAD"/>
    <w:rsid w:val="00FB2CEA"/>
    <w:rsid w:val="00FB3E9C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6C1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1C16"/>
    <w:rsid w:val="00FE2A83"/>
    <w:rsid w:val="00FE2EC4"/>
    <w:rsid w:val="00FE45B1"/>
    <w:rsid w:val="00FE4926"/>
    <w:rsid w:val="00FE4C13"/>
    <w:rsid w:val="00FE4FC8"/>
    <w:rsid w:val="00FE4FEB"/>
    <w:rsid w:val="00FE555D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020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List Paragraph compact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AF1FC2"/>
  </w:style>
  <w:style w:type="numbering" w:customStyle="1" w:styleId="Styl3">
    <w:name w:val="Styl3"/>
    <w:locked/>
    <w:rsid w:val="00C00FB7"/>
    <w:pPr>
      <w:numPr>
        <w:numId w:val="98"/>
      </w:numPr>
    </w:pPr>
  </w:style>
  <w:style w:type="paragraph" w:customStyle="1" w:styleId="OM-Normln">
    <w:name w:val="OM - Normální"/>
    <w:basedOn w:val="Normln"/>
    <w:link w:val="OM-NormlnChar"/>
    <w:qFormat/>
    <w:rsid w:val="00C00FB7"/>
    <w:pPr>
      <w:adjustRightInd w:val="0"/>
      <w:spacing w:before="12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00FB7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ja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15OPMSMT0001-78-29339</_dlc_DocId>
    <_dlc_DocIdUrl xmlns="0104a4cd-1400-468e-be1b-c7aad71d7d5a">
      <Url>https://op.msmt.cz/_layouts/15/DocIdRedir.aspx?ID=15OPMSMT0001-78-29339</Url>
      <Description>15OPMSMT0001-78-29339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5DD0C-02BC-4305-9A18-1EFEA5DF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0104a4cd-1400-468e-be1b-c7aad71d7d5a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5681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2023-10-25T08:39:00Z</dcterms:created>
  <dcterms:modified xsi:type="dcterms:W3CDTF">2023-10-25T08:39:00Z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42c0586e-679d-4987-893b-eaf9635ec2eb</vt:lpwstr>
  </property>
  <property fmtid="{D5CDD505-2E9C-101B-9397-08002B2CF9AE}" pid="4" name="Komentář">
    <vt:lpwstr>Zveřejněno na webu 28/11/2017</vt:lpwstr>
  </property>
</Properties>
</file>