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DA0D52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DA0D52">
      <w:pPr>
        <w:spacing w:before="80" w:after="0"/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02424EAC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 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251E4128" w:rsidR="00F305B8" w:rsidRDefault="00F305B8" w:rsidP="00DA0D52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69BC96B2" w14:textId="2B7E5666" w:rsidR="007D0D36" w:rsidRPr="00E53485" w:rsidRDefault="007D0D36" w:rsidP="00DA0D52">
      <w:pPr>
        <w:spacing w:after="0"/>
        <w:ind w:right="40"/>
        <w:rPr>
          <w:rFonts w:eastAsia="Calibri" w:cstheme="minorHAnsi"/>
          <w:i/>
          <w:iCs/>
          <w:color w:val="000000" w:themeColor="text1"/>
        </w:rPr>
      </w:pPr>
      <w:r w:rsidRPr="00E53485">
        <w:rPr>
          <w:rFonts w:eastAsia="Calibri" w:cstheme="minorHAnsi"/>
          <w:i/>
          <w:iCs/>
          <w:color w:val="000000" w:themeColor="text1"/>
        </w:rPr>
        <w:t>Na toto místo bude přenesen text z</w:t>
      </w:r>
      <w:r w:rsidR="00DF7A7B">
        <w:rPr>
          <w:rFonts w:eastAsia="Calibri" w:cstheme="minorHAnsi"/>
          <w:i/>
          <w:iCs/>
          <w:color w:val="000000" w:themeColor="text1"/>
        </w:rPr>
        <w:t> </w:t>
      </w:r>
      <w:r>
        <w:rPr>
          <w:rFonts w:eastAsia="Calibri" w:cstheme="minorHAnsi"/>
          <w:i/>
          <w:iCs/>
          <w:color w:val="000000" w:themeColor="text1"/>
        </w:rPr>
        <w:t>přílohy</w:t>
      </w:r>
      <w:r w:rsidR="00DF7A7B">
        <w:rPr>
          <w:rFonts w:eastAsia="Calibri" w:cstheme="minorHAnsi"/>
          <w:i/>
          <w:iCs/>
          <w:color w:val="000000" w:themeColor="text1"/>
        </w:rPr>
        <w:t xml:space="preserve"> žádosti o podporu</w:t>
      </w:r>
      <w:r>
        <w:rPr>
          <w:rFonts w:eastAsia="Calibri" w:cstheme="minorHAnsi"/>
          <w:i/>
          <w:iCs/>
          <w:color w:val="000000" w:themeColor="text1"/>
        </w:rPr>
        <w:t xml:space="preserve"> Klíčové aktivity</w:t>
      </w:r>
      <w:r w:rsidR="00DF7A7B">
        <w:rPr>
          <w:rFonts w:eastAsia="Calibri" w:cstheme="minorHAnsi"/>
          <w:i/>
          <w:iCs/>
          <w:color w:val="000000" w:themeColor="text1"/>
        </w:rPr>
        <w:t xml:space="preserve">, který žadatel uvede do rámečku označeného jako Shrnutí, formulujte jej </w:t>
      </w:r>
      <w:r w:rsidR="00DF7A7B" w:rsidRPr="00FF3A92">
        <w:rPr>
          <w:rFonts w:cs="Calibri"/>
          <w:i/>
        </w:rPr>
        <w:t xml:space="preserve">proto </w:t>
      </w:r>
      <w:r w:rsidR="00DF7A7B">
        <w:rPr>
          <w:rFonts w:cs="Calibri"/>
          <w:i/>
        </w:rPr>
        <w:t xml:space="preserve">v této příloze </w:t>
      </w:r>
      <w:r w:rsidR="00DF7A7B" w:rsidRPr="00FF3A92">
        <w:rPr>
          <w:rFonts w:cs="Calibri"/>
          <w:i/>
        </w:rPr>
        <w:t>co nejkonkrétněji a v souladu s návodem</w:t>
      </w:r>
      <w:r w:rsidR="00DF7A7B">
        <w:rPr>
          <w:rFonts w:cs="Calibri"/>
          <w:i/>
        </w:rPr>
        <w:t xml:space="preserve"> uvedeným t</w:t>
      </w:r>
      <w:r w:rsidR="00947E9A">
        <w:rPr>
          <w:rFonts w:cs="Calibri"/>
          <w:i/>
        </w:rPr>
        <w:t>amtéž.</w:t>
      </w:r>
    </w:p>
    <w:p w14:paraId="5FC8B7D1" w14:textId="0DB01B1E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61630462" w:rsidR="00F305B8" w:rsidRPr="00FF3A92" w:rsidRDefault="00DF7A7B" w:rsidP="00DA0D52">
      <w:pPr>
        <w:autoSpaceDE w:val="0"/>
        <w:autoSpaceDN w:val="0"/>
        <w:adjustRightInd w:val="0"/>
        <w:spacing w:after="0"/>
        <w:rPr>
          <w:rFonts w:cs="Calibri"/>
          <w:i/>
        </w:rPr>
      </w:pPr>
      <w:r>
        <w:rPr>
          <w:rFonts w:cs="Calibri"/>
          <w:i/>
        </w:rPr>
        <w:t xml:space="preserve">Na toto místo </w:t>
      </w:r>
      <w:r w:rsidR="00FF3A92" w:rsidRPr="00FF3A92">
        <w:rPr>
          <w:rFonts w:cs="Calibri"/>
          <w:i/>
        </w:rPr>
        <w:t xml:space="preserve"> bude přenesen t</w:t>
      </w:r>
      <w:r w:rsidR="00F305B8" w:rsidRPr="00FF3A92">
        <w:rPr>
          <w:rFonts w:cs="Calibri"/>
          <w:i/>
        </w:rPr>
        <w:t xml:space="preserve">ext </w:t>
      </w:r>
      <w:r w:rsidR="002A4A07">
        <w:rPr>
          <w:rFonts w:cs="Calibri"/>
          <w:i/>
        </w:rPr>
        <w:t xml:space="preserve">z přílohy žádosti o podporu </w:t>
      </w:r>
      <w:r w:rsidR="00240EEF">
        <w:rPr>
          <w:rFonts w:cs="Calibri"/>
          <w:i/>
        </w:rPr>
        <w:t>Klíčové aktivity</w:t>
      </w:r>
      <w:r w:rsidR="002A4A07">
        <w:rPr>
          <w:rFonts w:cs="Calibri"/>
          <w:i/>
        </w:rPr>
        <w:t>, který žadatel uvede do rámečk</w:t>
      </w:r>
      <w:r w:rsidR="00FF0E85">
        <w:rPr>
          <w:rFonts w:cs="Calibri"/>
          <w:i/>
        </w:rPr>
        <w:t>u</w:t>
      </w:r>
      <w:r w:rsidR="002A4A07">
        <w:rPr>
          <w:rFonts w:cs="Calibri"/>
          <w:i/>
        </w:rPr>
        <w:t xml:space="preserve"> označen</w:t>
      </w:r>
      <w:r w:rsidR="00FF0E85">
        <w:rPr>
          <w:rFonts w:cs="Calibri"/>
          <w:i/>
        </w:rPr>
        <w:t>ého jako Shrnutí,</w:t>
      </w:r>
      <w:r w:rsidR="00FF0E85" w:rsidDel="00FF0E85">
        <w:rPr>
          <w:rFonts w:cs="Calibri"/>
          <w:i/>
        </w:rPr>
        <w:t xml:space="preserve"> </w:t>
      </w:r>
      <w:r w:rsidR="009165B5">
        <w:rPr>
          <w:rFonts w:cs="Calibri"/>
          <w:i/>
        </w:rPr>
        <w:t>f</w:t>
      </w:r>
      <w:r w:rsidR="00F305B8" w:rsidRPr="00FF3A92">
        <w:rPr>
          <w:rFonts w:cs="Calibri"/>
          <w:i/>
        </w:rPr>
        <w:t xml:space="preserve">ormulujte jej </w:t>
      </w:r>
      <w:bookmarkStart w:id="0" w:name="_Hlk137551644"/>
      <w:r w:rsidR="00F305B8" w:rsidRPr="00FF3A92">
        <w:rPr>
          <w:rFonts w:cs="Calibri"/>
          <w:i/>
        </w:rPr>
        <w:t xml:space="preserve">proto </w:t>
      </w:r>
      <w:r w:rsidR="002A4A07">
        <w:rPr>
          <w:rFonts w:cs="Calibri"/>
          <w:i/>
        </w:rPr>
        <w:t xml:space="preserve">v této příloze </w:t>
      </w:r>
      <w:r w:rsidR="00F305B8" w:rsidRPr="00FF3A92">
        <w:rPr>
          <w:rFonts w:cs="Calibri"/>
          <w:i/>
        </w:rPr>
        <w:t>co nejkonkrétněji a v souladu s návodem</w:t>
      </w:r>
      <w:r w:rsidR="009165B5">
        <w:rPr>
          <w:rFonts w:cs="Calibri"/>
          <w:i/>
        </w:rPr>
        <w:t xml:space="preserve"> uvedeným tamtéž</w:t>
      </w:r>
      <w:r w:rsidR="00F305B8" w:rsidRPr="00FF3A92">
        <w:rPr>
          <w:rFonts w:cs="Calibri"/>
          <w:i/>
        </w:rPr>
        <w:t>.</w:t>
      </w:r>
      <w:bookmarkEnd w:id="0"/>
      <w:r w:rsidR="00F305B8" w:rsidRPr="00FF3A92">
        <w:rPr>
          <w:rFonts w:cs="Calibri"/>
          <w:i/>
        </w:rPr>
        <w:t xml:space="preserve"> Do ZPP se přenáší všechny klíčové aktivity s výjimkou KA 1 Řízení projektu.</w:t>
      </w:r>
    </w:p>
    <w:p w14:paraId="074C011A" w14:textId="3FC7C575" w:rsidR="00F305B8" w:rsidRPr="00770443" w:rsidRDefault="00F305B8" w:rsidP="00DA0D52">
      <w:pPr>
        <w:autoSpaceDE w:val="0"/>
        <w:autoSpaceDN w:val="0"/>
        <w:adjustRightInd w:val="0"/>
        <w:spacing w:after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3"/>
      </w:r>
    </w:p>
    <w:p w14:paraId="3171FA09" w14:textId="77777777" w:rsidR="00DA0D52" w:rsidRDefault="00F305B8" w:rsidP="00DA0D52">
      <w:pPr>
        <w:shd w:val="clear" w:color="auto" w:fill="FFFFFF" w:themeFill="background1"/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  <w:u w:val="single"/>
        </w:rPr>
        <w:t>Popis:</w:t>
      </w:r>
      <w:r w:rsidR="00DA0D52" w:rsidRPr="00DA0D52">
        <w:rPr>
          <w:rFonts w:cs="Calibri"/>
          <w:b/>
        </w:rPr>
        <w:t xml:space="preserve"> </w:t>
      </w:r>
    </w:p>
    <w:p w14:paraId="63C86C5B" w14:textId="7308BE1B" w:rsidR="002C5E0C" w:rsidRPr="00DA0D52" w:rsidRDefault="002C5E0C" w:rsidP="00DA0D52">
      <w:pPr>
        <w:shd w:val="clear" w:color="auto" w:fill="FFFFFF" w:themeFill="background1"/>
        <w:autoSpaceDE w:val="0"/>
        <w:autoSpaceDN w:val="0"/>
        <w:adjustRightInd w:val="0"/>
        <w:spacing w:after="0"/>
        <w:jc w:val="left"/>
        <w:rPr>
          <w:rFonts w:cs="Calibri"/>
          <w:b/>
          <w:u w:val="single"/>
        </w:rPr>
      </w:pPr>
      <w:r w:rsidRPr="0061406E">
        <w:rPr>
          <w:rFonts w:cs="Calibri"/>
          <w:color w:val="000000" w:themeColor="text1"/>
          <w:highlight w:val="lightGray"/>
        </w:rPr>
        <w:t>…</w:t>
      </w:r>
    </w:p>
    <w:p w14:paraId="1AF1D55F" w14:textId="6FDA0D1F" w:rsidR="002C5E0C" w:rsidRPr="002C5E0C" w:rsidRDefault="008D31CE" w:rsidP="002002DD">
      <w:pPr>
        <w:pStyle w:val="Textpoznpodarou"/>
        <w:shd w:val="clear" w:color="auto" w:fill="FFFFFF" w:themeFill="background1"/>
        <w:rPr>
          <w:color w:val="000000" w:themeColor="text1"/>
        </w:rPr>
      </w:pPr>
      <w:r>
        <w:rPr>
          <w:b/>
          <w:bCs/>
          <w:color w:val="000000" w:themeColor="text1"/>
        </w:rPr>
        <w:t>Příjemce je povinen</w:t>
      </w:r>
      <w:r w:rsidR="002F3C00">
        <w:rPr>
          <w:rStyle w:val="Znakapoznpodarou"/>
          <w:color w:val="000000" w:themeColor="text1"/>
        </w:rPr>
        <w:footnoteReference w:id="4"/>
      </w:r>
      <w:r>
        <w:rPr>
          <w:b/>
          <w:bCs/>
          <w:color w:val="000000" w:themeColor="text1"/>
        </w:rPr>
        <w:t xml:space="preserve"> naplnit v</w:t>
      </w:r>
      <w:r w:rsidR="002C5E0C" w:rsidRPr="002C5E0C">
        <w:rPr>
          <w:b/>
          <w:bCs/>
          <w:color w:val="000000" w:themeColor="text1"/>
        </w:rPr>
        <w:t>ýstup</w:t>
      </w:r>
      <w:r w:rsidR="00EE0DAC">
        <w:rPr>
          <w:b/>
          <w:bCs/>
          <w:color w:val="000000" w:themeColor="text1"/>
        </w:rPr>
        <w:t>y</w:t>
      </w:r>
      <w:r w:rsidR="002C5E0C" w:rsidRPr="002C5E0C">
        <w:rPr>
          <w:b/>
          <w:bCs/>
          <w:color w:val="000000" w:themeColor="text1"/>
        </w:rPr>
        <w:t xml:space="preserve"> klíčových aktivit projektu</w:t>
      </w:r>
      <w:r>
        <w:rPr>
          <w:b/>
          <w:bCs/>
          <w:color w:val="000000" w:themeColor="text1"/>
        </w:rPr>
        <w:t xml:space="preserve"> uvedené</w:t>
      </w:r>
      <w:r w:rsidR="009919BD">
        <w:rPr>
          <w:b/>
          <w:bCs/>
          <w:color w:val="000000" w:themeColor="text1"/>
        </w:rPr>
        <w:t xml:space="preserve"> </w:t>
      </w:r>
      <w:r w:rsidR="002C5E0C" w:rsidRPr="002C5E0C">
        <w:rPr>
          <w:b/>
          <w:bCs/>
          <w:color w:val="000000" w:themeColor="text1"/>
        </w:rPr>
        <w:t xml:space="preserve">v </w:t>
      </w:r>
      <w:hyperlink r:id="rId12" w:history="1">
        <w:r w:rsidR="002C5E0C" w:rsidRPr="002C5E0C">
          <w:rPr>
            <w:rStyle w:val="Hypertextovodkaz"/>
            <w:b/>
            <w:bCs/>
            <w:color w:val="000000" w:themeColor="text1"/>
          </w:rPr>
          <w:t xml:space="preserve">Přehledu </w:t>
        </w:r>
        <w:r w:rsidR="00EE0DAC">
          <w:rPr>
            <w:rStyle w:val="Hypertextovodkaz"/>
            <w:b/>
            <w:bCs/>
            <w:color w:val="000000" w:themeColor="text1"/>
          </w:rPr>
          <w:t xml:space="preserve">výstupů </w:t>
        </w:r>
        <w:r w:rsidR="002C5E0C" w:rsidRPr="002C5E0C">
          <w:rPr>
            <w:rStyle w:val="Hypertextovodkaz"/>
            <w:b/>
            <w:bCs/>
            <w:color w:val="000000" w:themeColor="text1"/>
          </w:rPr>
          <w:t>klíčových aktivit,</w:t>
        </w:r>
      </w:hyperlink>
      <w:r w:rsidR="002C5E0C" w:rsidRPr="002C5E0C">
        <w:rPr>
          <w:color w:val="000000" w:themeColor="text1"/>
        </w:rPr>
        <w:t xml:space="preserve"> který je nedílnou součástí Základních parametrů projektu.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4B2091E4" w14:textId="77777777" w:rsidR="0061406E" w:rsidRDefault="0061406E" w:rsidP="009165B5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2745B9AA" w14:textId="6A37F6EC" w:rsidR="009165B5" w:rsidRDefault="007C65D2" w:rsidP="009165B5">
      <w:pPr>
        <w:rPr>
          <w:rFonts w:cs="Calibri"/>
        </w:rPr>
      </w:pPr>
      <w:r>
        <w:rPr>
          <w:rFonts w:cs="Calibri"/>
          <w:i/>
        </w:rPr>
        <w:t>Na toto místo budou z IS 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  <w:r w:rsidR="009165B5" w:rsidRPr="009165B5">
        <w:rPr>
          <w:rFonts w:cs="Calibri"/>
        </w:rPr>
        <w:t xml:space="preserve">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390B8CEB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0B29F681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63E27240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DA0D5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DA0D52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DA0D52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0145F4B8" w:rsidR="00F305B8" w:rsidRPr="00770443" w:rsidRDefault="00F305B8" w:rsidP="00DA0D52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DA0D52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C4E5CBB" w14:textId="50621ED9" w:rsidR="00D94896" w:rsidRPr="00DA0D52" w:rsidRDefault="00D94896" w:rsidP="00DA0D52">
      <w:pPr>
        <w:spacing w:after="0"/>
        <w:rPr>
          <w:rFonts w:cs="Calibri"/>
          <w:i/>
        </w:rPr>
      </w:pPr>
      <w:r w:rsidRPr="00DA0D52">
        <w:rPr>
          <w:rFonts w:cs="Calibri"/>
          <w:i/>
          <w:vertAlign w:val="superscript"/>
        </w:rPr>
        <w:t xml:space="preserve">*) </w:t>
      </w:r>
      <w:r w:rsidRPr="00DA0D52">
        <w:rPr>
          <w:rFonts w:cs="Calibri"/>
          <w:i/>
        </w:rPr>
        <w:t>Nehodící se bude odstraněno.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Rozpočet</w:t>
      </w:r>
      <w:r w:rsidRPr="00BD4751">
        <w:rPr>
          <w:vertAlign w:val="superscript"/>
        </w:rPr>
        <w:footnoteReference w:id="6"/>
      </w:r>
    </w:p>
    <w:p w14:paraId="2E0549B7" w14:textId="4FF6A0F9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</w:t>
      </w:r>
      <w:r w:rsidR="0061406E">
        <w:rPr>
          <w:rFonts w:eastAsia="Times New Roman"/>
        </w:rPr>
        <w:t> </w:t>
      </w:r>
      <w:r>
        <w:rPr>
          <w:rFonts w:eastAsia="Times New Roman"/>
        </w:rPr>
        <w:t>právního aktu.</w:t>
      </w:r>
      <w:r w:rsidR="00F4219B" w:rsidRPr="00F4219B">
        <w:rPr>
          <w:rFonts w:eastAsia="Times New Roman"/>
        </w:rPr>
        <w:t xml:space="preserve"> </w:t>
      </w:r>
      <w:r w:rsidR="00F4219B">
        <w:rPr>
          <w:rFonts w:eastAsia="Times New Roman"/>
        </w:rPr>
        <w:t>To neplatí pro přesun mezi investičními a neinvestičními prostředky.</w:t>
      </w:r>
    </w:p>
    <w:p w14:paraId="1BE9C7BA" w14:textId="77777777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5103"/>
        <w:gridCol w:w="2402"/>
      </w:tblGrid>
      <w:tr w:rsidR="00F4219B" w:rsidRPr="00770443" w14:paraId="180A6304" w14:textId="77777777" w:rsidTr="00F4219B">
        <w:tc>
          <w:tcPr>
            <w:tcW w:w="1555" w:type="dxa"/>
          </w:tcPr>
          <w:p w14:paraId="40DAA60D" w14:textId="77777777" w:rsidR="00F4219B" w:rsidRPr="00EA395D" w:rsidRDefault="00F4219B" w:rsidP="00BC2F56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5103" w:type="dxa"/>
          </w:tcPr>
          <w:p w14:paraId="1F211458" w14:textId="77777777" w:rsidR="00F4219B" w:rsidRPr="00EA395D" w:rsidRDefault="00F4219B" w:rsidP="00BC2F56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2402" w:type="dxa"/>
          </w:tcPr>
          <w:p w14:paraId="531642B8" w14:textId="77777777" w:rsidR="00F4219B" w:rsidRPr="00EA395D" w:rsidRDefault="00F4219B" w:rsidP="00BC2F56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 Kč</w:t>
            </w:r>
          </w:p>
        </w:tc>
      </w:tr>
      <w:tr w:rsidR="00F4219B" w:rsidRPr="00770443" w14:paraId="40B9537D" w14:textId="77777777" w:rsidTr="00F4219B">
        <w:tc>
          <w:tcPr>
            <w:tcW w:w="1555" w:type="dxa"/>
          </w:tcPr>
          <w:p w14:paraId="61853F95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5103" w:type="dxa"/>
          </w:tcPr>
          <w:p w14:paraId="4FE51AA2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2402" w:type="dxa"/>
          </w:tcPr>
          <w:p w14:paraId="233B9B16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4219B" w:rsidRPr="00770443" w14:paraId="0D480465" w14:textId="77777777" w:rsidTr="00F4219B">
        <w:tc>
          <w:tcPr>
            <w:tcW w:w="1555" w:type="dxa"/>
          </w:tcPr>
          <w:p w14:paraId="20C4BA9A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5103" w:type="dxa"/>
          </w:tcPr>
          <w:p w14:paraId="363777C5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2402" w:type="dxa"/>
          </w:tcPr>
          <w:p w14:paraId="08FA8188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4219B" w:rsidRPr="00770443" w14:paraId="2CD28259" w14:textId="77777777" w:rsidTr="00F4219B">
        <w:tc>
          <w:tcPr>
            <w:tcW w:w="1555" w:type="dxa"/>
          </w:tcPr>
          <w:p w14:paraId="1EDD3CD5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5103" w:type="dxa"/>
          </w:tcPr>
          <w:p w14:paraId="28737C51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</w:p>
        </w:tc>
        <w:tc>
          <w:tcPr>
            <w:tcW w:w="2402" w:type="dxa"/>
          </w:tcPr>
          <w:p w14:paraId="7174E718" w14:textId="77777777" w:rsidR="00F4219B" w:rsidRPr="00EA395D" w:rsidRDefault="00F4219B" w:rsidP="00BC2F5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4219B" w:rsidRPr="00770443" w14:paraId="7A2CEC19" w14:textId="77777777" w:rsidTr="00F4219B">
        <w:tc>
          <w:tcPr>
            <w:tcW w:w="1555" w:type="dxa"/>
          </w:tcPr>
          <w:p w14:paraId="22DF6946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1.1.1.1.1</w:t>
            </w:r>
          </w:p>
        </w:tc>
        <w:tc>
          <w:tcPr>
            <w:tcW w:w="5103" w:type="dxa"/>
          </w:tcPr>
          <w:p w14:paraId="6FD66D35" w14:textId="6CFD08B9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 xml:space="preserve">Přímé výdaje </w:t>
            </w:r>
            <w:r w:rsidR="00F132E0">
              <w:rPr>
                <w:rFonts w:cstheme="minorHAnsi"/>
                <w:b/>
                <w:bCs/>
                <w:sz w:val="22"/>
              </w:rPr>
              <w:t>–</w:t>
            </w:r>
            <w:r w:rsidRPr="00EA395D">
              <w:rPr>
                <w:rFonts w:cstheme="minorHAnsi"/>
                <w:b/>
                <w:bCs/>
                <w:sz w:val="22"/>
              </w:rPr>
              <w:t xml:space="preserve"> investiční</w:t>
            </w:r>
          </w:p>
        </w:tc>
        <w:tc>
          <w:tcPr>
            <w:tcW w:w="2402" w:type="dxa"/>
          </w:tcPr>
          <w:p w14:paraId="10286EBC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4BEC334E" w14:textId="77777777" w:rsidTr="00F4219B">
        <w:tc>
          <w:tcPr>
            <w:tcW w:w="1555" w:type="dxa"/>
          </w:tcPr>
          <w:p w14:paraId="286A7810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1.1.1.1.1.1</w:t>
            </w:r>
          </w:p>
        </w:tc>
        <w:tc>
          <w:tcPr>
            <w:tcW w:w="5103" w:type="dxa"/>
          </w:tcPr>
          <w:p w14:paraId="178CD6C1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Dlouhodobý hmotný majetek</w:t>
            </w:r>
          </w:p>
        </w:tc>
        <w:tc>
          <w:tcPr>
            <w:tcW w:w="2402" w:type="dxa"/>
          </w:tcPr>
          <w:p w14:paraId="111774E5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4BDB1742" w14:textId="77777777" w:rsidTr="00F4219B">
        <w:tc>
          <w:tcPr>
            <w:tcW w:w="1555" w:type="dxa"/>
          </w:tcPr>
          <w:p w14:paraId="4CCE4C07" w14:textId="011CF1D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1.1.1.1.1.1.</w:t>
            </w:r>
            <w:r>
              <w:rPr>
                <w:rFonts w:eastAsia="Times New Roman" w:cstheme="minorHAnsi"/>
                <w:sz w:val="22"/>
                <w:lang w:eastAsia="cs-CZ"/>
              </w:rPr>
              <w:t>1</w:t>
            </w:r>
          </w:p>
        </w:tc>
        <w:tc>
          <w:tcPr>
            <w:tcW w:w="5103" w:type="dxa"/>
          </w:tcPr>
          <w:p w14:paraId="214786E1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Movité věci</w:t>
            </w:r>
          </w:p>
        </w:tc>
        <w:tc>
          <w:tcPr>
            <w:tcW w:w="2402" w:type="dxa"/>
          </w:tcPr>
          <w:p w14:paraId="500E3383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33856D16" w14:textId="77777777" w:rsidTr="00F4219B">
        <w:tc>
          <w:tcPr>
            <w:tcW w:w="1555" w:type="dxa"/>
          </w:tcPr>
          <w:p w14:paraId="2F1823AE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1.1.1.1.1.2</w:t>
            </w:r>
          </w:p>
        </w:tc>
        <w:tc>
          <w:tcPr>
            <w:tcW w:w="5103" w:type="dxa"/>
          </w:tcPr>
          <w:p w14:paraId="4C1DA8D8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Dlouhodobý nehmotný majetek</w:t>
            </w:r>
          </w:p>
        </w:tc>
        <w:tc>
          <w:tcPr>
            <w:tcW w:w="2402" w:type="dxa"/>
          </w:tcPr>
          <w:p w14:paraId="28E3501F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0BF3A767" w14:textId="77777777" w:rsidTr="00F4219B">
        <w:tc>
          <w:tcPr>
            <w:tcW w:w="1555" w:type="dxa"/>
          </w:tcPr>
          <w:p w14:paraId="20B6A4D5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1.1.1.1.2</w:t>
            </w:r>
          </w:p>
        </w:tc>
        <w:tc>
          <w:tcPr>
            <w:tcW w:w="5103" w:type="dxa"/>
          </w:tcPr>
          <w:p w14:paraId="19DE4FEE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Přímé výdaje – neinvestiční </w:t>
            </w:r>
          </w:p>
        </w:tc>
        <w:tc>
          <w:tcPr>
            <w:tcW w:w="2402" w:type="dxa"/>
          </w:tcPr>
          <w:p w14:paraId="00AD1B0E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564AA9C8" w14:textId="77777777" w:rsidTr="00F4219B">
        <w:tc>
          <w:tcPr>
            <w:tcW w:w="1555" w:type="dxa"/>
          </w:tcPr>
          <w:p w14:paraId="1D69E08E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1.1.1.1.2.1</w:t>
            </w:r>
          </w:p>
        </w:tc>
        <w:tc>
          <w:tcPr>
            <w:tcW w:w="5103" w:type="dxa"/>
          </w:tcPr>
          <w:p w14:paraId="01D8672B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Hmotný majetek</w:t>
            </w:r>
          </w:p>
        </w:tc>
        <w:tc>
          <w:tcPr>
            <w:tcW w:w="2402" w:type="dxa"/>
          </w:tcPr>
          <w:p w14:paraId="65FA8199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0BB62BE8" w14:textId="77777777" w:rsidTr="00F4219B">
        <w:tc>
          <w:tcPr>
            <w:tcW w:w="1555" w:type="dxa"/>
          </w:tcPr>
          <w:p w14:paraId="096032A1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1.1.1.1.2.2</w:t>
            </w:r>
          </w:p>
        </w:tc>
        <w:tc>
          <w:tcPr>
            <w:tcW w:w="5103" w:type="dxa"/>
          </w:tcPr>
          <w:p w14:paraId="4A82FD37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Nehmotný majetek</w:t>
            </w:r>
          </w:p>
        </w:tc>
        <w:tc>
          <w:tcPr>
            <w:tcW w:w="2402" w:type="dxa"/>
          </w:tcPr>
          <w:p w14:paraId="1E38FFB3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577A03D2" w14:textId="77777777" w:rsidTr="00F4219B">
        <w:tc>
          <w:tcPr>
            <w:tcW w:w="1555" w:type="dxa"/>
          </w:tcPr>
          <w:p w14:paraId="66BF0765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1.1.1.1.2.3</w:t>
            </w:r>
          </w:p>
        </w:tc>
        <w:tc>
          <w:tcPr>
            <w:tcW w:w="5103" w:type="dxa"/>
          </w:tcPr>
          <w:p w14:paraId="498B9CA9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Odpisy</w:t>
            </w:r>
          </w:p>
        </w:tc>
        <w:tc>
          <w:tcPr>
            <w:tcW w:w="2402" w:type="dxa"/>
          </w:tcPr>
          <w:p w14:paraId="0C05D99D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17184FF5" w14:textId="77777777" w:rsidTr="00F4219B">
        <w:tc>
          <w:tcPr>
            <w:tcW w:w="1555" w:type="dxa"/>
          </w:tcPr>
          <w:p w14:paraId="7EF17A6F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1.1.1.1.2.4</w:t>
            </w:r>
          </w:p>
        </w:tc>
        <w:tc>
          <w:tcPr>
            <w:tcW w:w="5103" w:type="dxa"/>
          </w:tcPr>
          <w:p w14:paraId="10F2EACA" w14:textId="22E80004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cstheme="minorHAnsi"/>
                <w:sz w:val="22"/>
              </w:rPr>
              <w:t>Osobní výdaje</w:t>
            </w:r>
            <w:r w:rsidR="00533F44">
              <w:rPr>
                <w:rFonts w:cstheme="minorHAnsi"/>
                <w:sz w:val="22"/>
              </w:rPr>
              <w:t xml:space="preserve"> – odborný tým</w:t>
            </w:r>
          </w:p>
        </w:tc>
        <w:tc>
          <w:tcPr>
            <w:tcW w:w="2402" w:type="dxa"/>
          </w:tcPr>
          <w:p w14:paraId="5226019A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203A4842" w14:textId="77777777" w:rsidTr="00F4219B">
        <w:tc>
          <w:tcPr>
            <w:tcW w:w="1555" w:type="dxa"/>
          </w:tcPr>
          <w:p w14:paraId="1AC029C5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1.1.1.1.2.5</w:t>
            </w:r>
          </w:p>
        </w:tc>
        <w:tc>
          <w:tcPr>
            <w:tcW w:w="5103" w:type="dxa"/>
          </w:tcPr>
          <w:p w14:paraId="590F3425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Autorské příspěvky</w:t>
            </w:r>
          </w:p>
        </w:tc>
        <w:tc>
          <w:tcPr>
            <w:tcW w:w="2402" w:type="dxa"/>
          </w:tcPr>
          <w:p w14:paraId="37505785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2DDB24F9" w14:textId="77777777" w:rsidTr="00F4219B">
        <w:tc>
          <w:tcPr>
            <w:tcW w:w="1555" w:type="dxa"/>
          </w:tcPr>
          <w:p w14:paraId="76902167" w14:textId="4C9C0A6A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</w:t>
            </w:r>
            <w:r>
              <w:rPr>
                <w:rFonts w:eastAsia="Times New Roman" w:cstheme="minorHAnsi"/>
                <w:sz w:val="22"/>
                <w:lang w:eastAsia="cs-CZ"/>
              </w:rPr>
              <w:t>6</w:t>
            </w:r>
          </w:p>
        </w:tc>
        <w:tc>
          <w:tcPr>
            <w:tcW w:w="5103" w:type="dxa"/>
          </w:tcPr>
          <w:p w14:paraId="125E601C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Nákup služeb</w:t>
            </w:r>
          </w:p>
        </w:tc>
        <w:tc>
          <w:tcPr>
            <w:tcW w:w="2402" w:type="dxa"/>
          </w:tcPr>
          <w:p w14:paraId="4999D708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075E79FB" w14:textId="77777777" w:rsidTr="00F4219B">
        <w:tc>
          <w:tcPr>
            <w:tcW w:w="1555" w:type="dxa"/>
          </w:tcPr>
          <w:p w14:paraId="4B2640D8" w14:textId="3EF883FF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1.1.1.1.2.</w:t>
            </w:r>
            <w:r>
              <w:rPr>
                <w:rFonts w:eastAsia="Times New Roman" w:cstheme="minorHAnsi"/>
                <w:sz w:val="22"/>
                <w:lang w:eastAsia="cs-CZ"/>
              </w:rPr>
              <w:t>7</w:t>
            </w:r>
          </w:p>
        </w:tc>
        <w:tc>
          <w:tcPr>
            <w:tcW w:w="5103" w:type="dxa"/>
          </w:tcPr>
          <w:p w14:paraId="159276E3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sz w:val="22"/>
                <w:lang w:eastAsia="cs-CZ"/>
              </w:rPr>
              <w:t>Přímá podpora</w:t>
            </w:r>
          </w:p>
        </w:tc>
        <w:tc>
          <w:tcPr>
            <w:tcW w:w="2402" w:type="dxa"/>
          </w:tcPr>
          <w:p w14:paraId="2EE7A2D4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1B61B507" w14:textId="77777777" w:rsidTr="00F4219B">
        <w:tc>
          <w:tcPr>
            <w:tcW w:w="1555" w:type="dxa"/>
          </w:tcPr>
          <w:p w14:paraId="4E7A594A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5103" w:type="dxa"/>
          </w:tcPr>
          <w:p w14:paraId="46C0542F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2402" w:type="dxa"/>
          </w:tcPr>
          <w:p w14:paraId="5B6A62EB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3D02051F" w14:textId="77777777" w:rsidTr="00F4219B">
        <w:tc>
          <w:tcPr>
            <w:tcW w:w="1555" w:type="dxa"/>
          </w:tcPr>
          <w:p w14:paraId="0E6A975A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5103" w:type="dxa"/>
          </w:tcPr>
          <w:p w14:paraId="2A3D07F3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 (neinvestiční výdaje)</w:t>
            </w:r>
          </w:p>
        </w:tc>
        <w:tc>
          <w:tcPr>
            <w:tcW w:w="2402" w:type="dxa"/>
          </w:tcPr>
          <w:p w14:paraId="0266CE39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54AD9555" w14:textId="77777777" w:rsidTr="00F4219B">
        <w:tc>
          <w:tcPr>
            <w:tcW w:w="1555" w:type="dxa"/>
          </w:tcPr>
          <w:p w14:paraId="118B5ABF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5103" w:type="dxa"/>
          </w:tcPr>
          <w:p w14:paraId="2A250BC2" w14:textId="66FD4B69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Rezerva pro osobní výdaje </w:t>
            </w:r>
            <w:r w:rsidR="00533F44">
              <w:rPr>
                <w:rFonts w:eastAsia="Times New Roman" w:cstheme="minorHAnsi"/>
                <w:b/>
                <w:bCs/>
                <w:sz w:val="22"/>
                <w:lang w:eastAsia="cs-CZ"/>
              </w:rPr>
              <w:t>(</w:t>
            </w: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neinvestiční výdaje)</w:t>
            </w:r>
          </w:p>
        </w:tc>
        <w:tc>
          <w:tcPr>
            <w:tcW w:w="2402" w:type="dxa"/>
          </w:tcPr>
          <w:p w14:paraId="6A40D80F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4219B" w:rsidRPr="00770443" w14:paraId="3BAA200A" w14:textId="77777777" w:rsidTr="00F4219B">
        <w:tc>
          <w:tcPr>
            <w:tcW w:w="1555" w:type="dxa"/>
          </w:tcPr>
          <w:p w14:paraId="2246CE93" w14:textId="77777777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5103" w:type="dxa"/>
          </w:tcPr>
          <w:p w14:paraId="116F9813" w14:textId="19F55914" w:rsidR="00F4219B" w:rsidRPr="00EA395D" w:rsidRDefault="00F4219B" w:rsidP="00BC2F5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  <w:r w:rsidR="00533F44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 (neinvestiční výdaje)</w:t>
            </w:r>
          </w:p>
        </w:tc>
        <w:tc>
          <w:tcPr>
            <w:tcW w:w="2402" w:type="dxa"/>
          </w:tcPr>
          <w:p w14:paraId="0129CD00" w14:textId="77777777" w:rsidR="00F4219B" w:rsidRPr="00EA395D" w:rsidDel="00652C0B" w:rsidRDefault="00F4219B" w:rsidP="00BC2F5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CBD0" w14:textId="77777777" w:rsidR="008412E8" w:rsidRDefault="008412E8" w:rsidP="00CE3205">
      <w:r>
        <w:separator/>
      </w:r>
    </w:p>
  </w:endnote>
  <w:endnote w:type="continuationSeparator" w:id="0">
    <w:p w14:paraId="2CFE84B9" w14:textId="77777777" w:rsidR="008412E8" w:rsidRDefault="008412E8" w:rsidP="00CE3205">
      <w:r>
        <w:continuationSeparator/>
      </w:r>
    </w:p>
  </w:endnote>
  <w:endnote w:type="continuationNotice" w:id="1">
    <w:p w14:paraId="34D3B573" w14:textId="77777777" w:rsidR="008412E8" w:rsidRDefault="008412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063" w14:textId="77777777" w:rsidR="008412E8" w:rsidRDefault="008412E8" w:rsidP="00CE3205">
      <w:r>
        <w:separator/>
      </w:r>
    </w:p>
  </w:footnote>
  <w:footnote w:type="continuationSeparator" w:id="0">
    <w:p w14:paraId="04E5B13D" w14:textId="77777777" w:rsidR="008412E8" w:rsidRDefault="008412E8" w:rsidP="00CE3205">
      <w:r>
        <w:continuationSeparator/>
      </w:r>
    </w:p>
  </w:footnote>
  <w:footnote w:type="continuationNotice" w:id="1">
    <w:p w14:paraId="286B50C3" w14:textId="77777777" w:rsidR="008412E8" w:rsidRDefault="008412E8">
      <w:pPr>
        <w:spacing w:before="0" w:after="0"/>
      </w:pPr>
    </w:p>
  </w:footnote>
  <w:footnote w:id="2">
    <w:p w14:paraId="45312E3E" w14:textId="777777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Subjekty.</w:t>
      </w:r>
    </w:p>
  </w:footnote>
  <w:footnote w:id="3">
    <w:p w14:paraId="1A72195E" w14:textId="5EA7D8F5" w:rsidR="00FF3A92" w:rsidRDefault="00FF3A92" w:rsidP="0061406E">
      <w:pPr>
        <w:pStyle w:val="Textpoznpodarou"/>
        <w:widowControl w:val="0"/>
        <w:spacing w:before="0"/>
      </w:pPr>
      <w:r w:rsidRPr="00FF3A92">
        <w:rPr>
          <w:rStyle w:val="Znakapoznpodarou"/>
          <w:sz w:val="16"/>
          <w:szCs w:val="16"/>
        </w:rPr>
        <w:footnoteRef/>
      </w:r>
      <w:r w:rsidRPr="00FF3A92">
        <w:rPr>
          <w:sz w:val="16"/>
          <w:szCs w:val="16"/>
        </w:rPr>
        <w:t xml:space="preserve"> Název a popis KA 2 a dalších, vyjma KA 1, sem bude převeden z žádosti o podporu.</w:t>
      </w:r>
    </w:p>
  </w:footnote>
  <w:footnote w:id="4">
    <w:p w14:paraId="02F9C592" w14:textId="77777777" w:rsidR="002F3C00" w:rsidRPr="00231B17" w:rsidRDefault="002F3C00" w:rsidP="00816EC2">
      <w:pPr>
        <w:pStyle w:val="Textpoznpodarou"/>
        <w:spacing w:before="0"/>
        <w:rPr>
          <w:sz w:val="16"/>
          <w:szCs w:val="16"/>
        </w:rPr>
      </w:pPr>
      <w:r w:rsidRPr="00231B17">
        <w:rPr>
          <w:rStyle w:val="Znakapoznpodarou"/>
          <w:sz w:val="16"/>
          <w:szCs w:val="16"/>
        </w:rPr>
        <w:footnoteRef/>
      </w:r>
      <w:r w:rsidRPr="00231B17">
        <w:rPr>
          <w:sz w:val="16"/>
          <w:szCs w:val="16"/>
        </w:rPr>
        <w:t xml:space="preserve"> </w:t>
      </w:r>
      <w:r>
        <w:rPr>
          <w:sz w:val="16"/>
          <w:szCs w:val="16"/>
        </w:rPr>
        <w:t>Pro úpravy a změny v</w:t>
      </w:r>
      <w:r w:rsidRPr="00231B17">
        <w:rPr>
          <w:sz w:val="16"/>
          <w:szCs w:val="16"/>
        </w:rPr>
        <w:t xml:space="preserve"> plánovaných výstup</w:t>
      </w:r>
      <w:r>
        <w:rPr>
          <w:sz w:val="16"/>
          <w:szCs w:val="16"/>
        </w:rPr>
        <w:t>ech</w:t>
      </w:r>
      <w:r w:rsidRPr="00231B17">
        <w:rPr>
          <w:sz w:val="16"/>
          <w:szCs w:val="16"/>
        </w:rPr>
        <w:t xml:space="preserve"> klíčových aktivit </w:t>
      </w:r>
      <w:r>
        <w:rPr>
          <w:sz w:val="16"/>
          <w:szCs w:val="16"/>
        </w:rPr>
        <w:t>jsou závazná ustanovení v kapitolách 7.2.1.1 a 7.4.2.2 PpŽP – specifická část.</w:t>
      </w:r>
    </w:p>
  </w:footnote>
  <w:footnote w:id="5">
    <w:p w14:paraId="313044DC" w14:textId="77777777" w:rsidR="00F305B8" w:rsidRPr="00770443" w:rsidRDefault="00F305B8" w:rsidP="00816EC2">
      <w:pPr>
        <w:pStyle w:val="Poznmkypodarou"/>
        <w:spacing w:before="0"/>
      </w:pPr>
      <w:r w:rsidRPr="009919BD">
        <w:rPr>
          <w:rStyle w:val="Znakapoznpodarou"/>
          <w:rFonts w:cs="Calibri"/>
          <w:szCs w:val="16"/>
        </w:rPr>
        <w:footnoteRef/>
      </w:r>
      <w:r w:rsidRPr="009919BD">
        <w:rPr>
          <w:szCs w:val="16"/>
        </w:rPr>
        <w:t xml:space="preserve"> Údaje vyplňuje žadatel v IS KP21+ na záložce Indikátory.</w:t>
      </w:r>
    </w:p>
  </w:footnote>
  <w:footnote w:id="6">
    <w:p w14:paraId="23CE69D1" w14:textId="77777777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  <w:num w:numId="7" w16cid:durableId="1790470619">
    <w:abstractNumId w:val="6"/>
  </w:num>
  <w:num w:numId="8" w16cid:durableId="1642424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FA2"/>
    <w:rsid w:val="00010776"/>
    <w:rsid w:val="00021AFD"/>
    <w:rsid w:val="0002789D"/>
    <w:rsid w:val="00054A83"/>
    <w:rsid w:val="00095E13"/>
    <w:rsid w:val="000C345E"/>
    <w:rsid w:val="000C6CA9"/>
    <w:rsid w:val="000E1578"/>
    <w:rsid w:val="000F4077"/>
    <w:rsid w:val="0010035A"/>
    <w:rsid w:val="00112D3B"/>
    <w:rsid w:val="00114C23"/>
    <w:rsid w:val="00124B82"/>
    <w:rsid w:val="00127CF4"/>
    <w:rsid w:val="00130172"/>
    <w:rsid w:val="00135E0C"/>
    <w:rsid w:val="001518E0"/>
    <w:rsid w:val="00154717"/>
    <w:rsid w:val="001A73ED"/>
    <w:rsid w:val="001D50F8"/>
    <w:rsid w:val="001F286D"/>
    <w:rsid w:val="002002DD"/>
    <w:rsid w:val="00205E8E"/>
    <w:rsid w:val="00211ED7"/>
    <w:rsid w:val="00212249"/>
    <w:rsid w:val="002271B9"/>
    <w:rsid w:val="00240EEF"/>
    <w:rsid w:val="002A4A07"/>
    <w:rsid w:val="002A51EB"/>
    <w:rsid w:val="002A67D0"/>
    <w:rsid w:val="002C5E0C"/>
    <w:rsid w:val="002C65CF"/>
    <w:rsid w:val="002D6D4C"/>
    <w:rsid w:val="002E4FE8"/>
    <w:rsid w:val="002F3C00"/>
    <w:rsid w:val="002F7CF9"/>
    <w:rsid w:val="00333704"/>
    <w:rsid w:val="003359FF"/>
    <w:rsid w:val="003C6483"/>
    <w:rsid w:val="003C71BA"/>
    <w:rsid w:val="003D7D37"/>
    <w:rsid w:val="003E07E7"/>
    <w:rsid w:val="00402932"/>
    <w:rsid w:val="004108ED"/>
    <w:rsid w:val="00410E5B"/>
    <w:rsid w:val="00416C16"/>
    <w:rsid w:val="00425050"/>
    <w:rsid w:val="00445D8B"/>
    <w:rsid w:val="004538FE"/>
    <w:rsid w:val="00475448"/>
    <w:rsid w:val="00496716"/>
    <w:rsid w:val="004B1802"/>
    <w:rsid w:val="004C4791"/>
    <w:rsid w:val="004D52EC"/>
    <w:rsid w:val="004F1F2C"/>
    <w:rsid w:val="00533F44"/>
    <w:rsid w:val="005455F3"/>
    <w:rsid w:val="00590117"/>
    <w:rsid w:val="005A2220"/>
    <w:rsid w:val="005B1F7E"/>
    <w:rsid w:val="005E0FD1"/>
    <w:rsid w:val="005F194B"/>
    <w:rsid w:val="005F5657"/>
    <w:rsid w:val="0060430C"/>
    <w:rsid w:val="0061406E"/>
    <w:rsid w:val="00643506"/>
    <w:rsid w:val="006D0408"/>
    <w:rsid w:val="006F1B93"/>
    <w:rsid w:val="00782FB4"/>
    <w:rsid w:val="007A74C8"/>
    <w:rsid w:val="007A7B79"/>
    <w:rsid w:val="007C4763"/>
    <w:rsid w:val="007C65D2"/>
    <w:rsid w:val="007D0D36"/>
    <w:rsid w:val="007F10ED"/>
    <w:rsid w:val="007F4F78"/>
    <w:rsid w:val="00812831"/>
    <w:rsid w:val="00816EC2"/>
    <w:rsid w:val="0082317B"/>
    <w:rsid w:val="00831EAC"/>
    <w:rsid w:val="008412E8"/>
    <w:rsid w:val="0085324C"/>
    <w:rsid w:val="00855DA0"/>
    <w:rsid w:val="00866748"/>
    <w:rsid w:val="008B4670"/>
    <w:rsid w:val="008B721A"/>
    <w:rsid w:val="008D051F"/>
    <w:rsid w:val="008D31CE"/>
    <w:rsid w:val="008F5355"/>
    <w:rsid w:val="00903D05"/>
    <w:rsid w:val="00912332"/>
    <w:rsid w:val="009165B5"/>
    <w:rsid w:val="0093578C"/>
    <w:rsid w:val="00947E9A"/>
    <w:rsid w:val="009518BE"/>
    <w:rsid w:val="00951B61"/>
    <w:rsid w:val="009740D5"/>
    <w:rsid w:val="009919BD"/>
    <w:rsid w:val="00A01894"/>
    <w:rsid w:val="00A16727"/>
    <w:rsid w:val="00A22567"/>
    <w:rsid w:val="00A45DA2"/>
    <w:rsid w:val="00A74FB2"/>
    <w:rsid w:val="00AD6BF4"/>
    <w:rsid w:val="00AE0ADF"/>
    <w:rsid w:val="00AF2096"/>
    <w:rsid w:val="00AF45EB"/>
    <w:rsid w:val="00B12607"/>
    <w:rsid w:val="00B16F6E"/>
    <w:rsid w:val="00B3782D"/>
    <w:rsid w:val="00B540B2"/>
    <w:rsid w:val="00B65CC8"/>
    <w:rsid w:val="00B65D0A"/>
    <w:rsid w:val="00B9047A"/>
    <w:rsid w:val="00B90C5A"/>
    <w:rsid w:val="00BA11D0"/>
    <w:rsid w:val="00BA3C2C"/>
    <w:rsid w:val="00BA4D8E"/>
    <w:rsid w:val="00BD4751"/>
    <w:rsid w:val="00BD607C"/>
    <w:rsid w:val="00BE0E21"/>
    <w:rsid w:val="00BE607E"/>
    <w:rsid w:val="00C04C73"/>
    <w:rsid w:val="00C061A7"/>
    <w:rsid w:val="00C1430E"/>
    <w:rsid w:val="00C30B6E"/>
    <w:rsid w:val="00C46E41"/>
    <w:rsid w:val="00C57C2F"/>
    <w:rsid w:val="00C60A28"/>
    <w:rsid w:val="00C81821"/>
    <w:rsid w:val="00C87F0C"/>
    <w:rsid w:val="00C95DC0"/>
    <w:rsid w:val="00CA198C"/>
    <w:rsid w:val="00CC0856"/>
    <w:rsid w:val="00CD1333"/>
    <w:rsid w:val="00CD6A73"/>
    <w:rsid w:val="00CE3205"/>
    <w:rsid w:val="00D4755E"/>
    <w:rsid w:val="00D56337"/>
    <w:rsid w:val="00D629EA"/>
    <w:rsid w:val="00D65C9F"/>
    <w:rsid w:val="00D94896"/>
    <w:rsid w:val="00DA0D52"/>
    <w:rsid w:val="00DB3364"/>
    <w:rsid w:val="00DE5075"/>
    <w:rsid w:val="00DF5EEF"/>
    <w:rsid w:val="00DF7A7B"/>
    <w:rsid w:val="00E06E3F"/>
    <w:rsid w:val="00E15170"/>
    <w:rsid w:val="00E21754"/>
    <w:rsid w:val="00E21917"/>
    <w:rsid w:val="00E400B6"/>
    <w:rsid w:val="00E71B5A"/>
    <w:rsid w:val="00E916BF"/>
    <w:rsid w:val="00EA0C52"/>
    <w:rsid w:val="00EA5AE8"/>
    <w:rsid w:val="00EB4E3D"/>
    <w:rsid w:val="00EE0DAC"/>
    <w:rsid w:val="00EE3BB3"/>
    <w:rsid w:val="00F036A7"/>
    <w:rsid w:val="00F04706"/>
    <w:rsid w:val="00F05483"/>
    <w:rsid w:val="00F07BA8"/>
    <w:rsid w:val="00F132E0"/>
    <w:rsid w:val="00F17324"/>
    <w:rsid w:val="00F26CB2"/>
    <w:rsid w:val="00F305B8"/>
    <w:rsid w:val="00F3345C"/>
    <w:rsid w:val="00F371CE"/>
    <w:rsid w:val="00F4219B"/>
    <w:rsid w:val="00F60EBD"/>
    <w:rsid w:val="00F80005"/>
    <w:rsid w:val="00F867DE"/>
    <w:rsid w:val="00FA3976"/>
    <w:rsid w:val="00FC7D8E"/>
    <w:rsid w:val="00FD79D1"/>
    <w:rsid w:val="00FE5DB7"/>
    <w:rsid w:val="00FE7F2C"/>
    <w:rsid w:val="00FF0E85"/>
    <w:rsid w:val="00FF3A9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2C5E0C"/>
    <w:rPr>
      <w:color w:val="0563C1" w:themeColor="hyperlink"/>
      <w:u w:val="single"/>
    </w:rPr>
  </w:style>
  <w:style w:type="paragraph" w:customStyle="1" w:styleId="OM-Normln">
    <w:name w:val="OM - Normální"/>
    <w:basedOn w:val="Normln"/>
    <w:link w:val="OM-NormlnChar"/>
    <w:qFormat/>
    <w:rsid w:val="003C6483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3C6483"/>
    <w:rPr>
      <w:rFonts w:cs="Arial"/>
      <w:lang w:eastAsia="cs-CZ"/>
    </w:rPr>
  </w:style>
  <w:style w:type="paragraph" w:customStyle="1" w:styleId="OM-odrky2rove">
    <w:name w:val="OM - odrážky 2. úroveň"/>
    <w:basedOn w:val="Normln"/>
    <w:link w:val="OM-odrky2roveChar"/>
    <w:rsid w:val="00F371CE"/>
    <w:pPr>
      <w:numPr>
        <w:ilvl w:val="1"/>
        <w:numId w:val="7"/>
      </w:numPr>
      <w:tabs>
        <w:tab w:val="clear" w:pos="5790"/>
      </w:tabs>
      <w:adjustRightInd w:val="0"/>
      <w:spacing w:before="0"/>
      <w:textAlignment w:val="baseline"/>
    </w:pPr>
    <w:rPr>
      <w:rFonts w:asciiTheme="minorHAnsi" w:hAnsiTheme="minorHAnsi" w:cs="Arial"/>
      <w:lang w:eastAsia="cs-CZ"/>
    </w:rPr>
  </w:style>
  <w:style w:type="character" w:customStyle="1" w:styleId="OM-odrky2roveChar">
    <w:name w:val="OM - odrážky 2. úroveň Char"/>
    <w:basedOn w:val="Standardnpsmoodstavce"/>
    <w:link w:val="OM-odrky2rove"/>
    <w:rsid w:val="00F371CE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zieglerovaa/Priloha_c_X_Evidence_vyuzivani_majetku_OP_JAK_(APU_IDZ)%20(1)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15OPMSMT0001-78-25089</_dlc_DocId>
    <_dlc_DocIdUrl xmlns="0104a4cd-1400-468e-be1b-c7aad71d7d5a">
      <Url>https://op.msmt.cz/_layouts/15/DocIdRedir.aspx?ID=15OPMSMT0001-78-25089</Url>
      <Description>15OPMSMT0001-78-25089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CC7470-FD52-4C24-8D73-F9C74635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2023-06-20T10:03:00Z</dcterms:created>
  <dcterms:modified xsi:type="dcterms:W3CDTF">2023-06-20T10:03:00Z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4f0aeb98-bd1a-4e55-a4a5-253c7283ceb1</vt:lpwstr>
  </property>
</Properties>
</file>