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2A8219A4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AA6692">
        <w:rPr>
          <w:highlight w:val="lightGray"/>
        </w:rPr>
        <w:t>…</w:t>
      </w:r>
      <w:r w:rsidR="00CB24B8" w:rsidRPr="00AA6692">
        <w:rPr>
          <w:highlight w:val="lightGray"/>
        </w:rPr>
        <w:t>…</w:t>
      </w:r>
      <w:r w:rsidR="00797732">
        <w:t xml:space="preserve"> s názvem </w:t>
      </w:r>
      <w:r w:rsidR="00797732" w:rsidRPr="00AA6692">
        <w:rPr>
          <w:highlight w:val="lightGray"/>
        </w:rPr>
        <w:t>……………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02134E" w:rsidRPr="00AA6692">
        <w:rPr>
          <w:highlight w:val="lightGray"/>
        </w:rPr>
        <w:t>…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CB24B8" w:rsidRPr="00AA6692">
        <w:rPr>
          <w:highlight w:val="lightGray"/>
        </w:rPr>
        <w:t>…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AA6692">
        <w:rPr>
          <w:highlight w:val="lightGray"/>
        </w:rPr>
        <w:t xml:space="preserve"> </w:t>
      </w:r>
      <w:r w:rsidR="00792B6D" w:rsidRPr="00AA6692">
        <w:rPr>
          <w:highlight w:val="lightGray"/>
        </w:rPr>
        <w:t>a</w:t>
      </w:r>
      <w:r w:rsidR="005A47B1" w:rsidRPr="00AA6692">
        <w:rPr>
          <w:highlight w:val="lightGray"/>
        </w:rPr>
        <w:t> </w:t>
      </w:r>
      <w:r w:rsidR="00792B6D" w:rsidRPr="00AA6692">
        <w:rPr>
          <w:highlight w:val="lightGray"/>
        </w:rPr>
        <w:t>podle zákona č. 130/2002 Sb., o podpoře výzkumu</w:t>
      </w:r>
      <w:r w:rsidR="00316826" w:rsidRPr="00AA6692">
        <w:rPr>
          <w:highlight w:val="lightGray"/>
        </w:rPr>
        <w:t>, experimentálního</w:t>
      </w:r>
      <w:r w:rsidR="00E71084" w:rsidRPr="00AA6692">
        <w:rPr>
          <w:highlight w:val="lightGray"/>
        </w:rPr>
        <w:t xml:space="preserve"> vývoje</w:t>
      </w:r>
      <w:r w:rsidR="00792B6D" w:rsidRPr="00AA6692">
        <w:rPr>
          <w:highlight w:val="lightGray"/>
        </w:rPr>
        <w:t xml:space="preserve"> </w:t>
      </w:r>
      <w:r w:rsidR="00316826" w:rsidRPr="00AA6692">
        <w:rPr>
          <w:highlight w:val="lightGray"/>
        </w:rPr>
        <w:t xml:space="preserve">a inovací </w:t>
      </w:r>
      <w:r w:rsidR="00792B6D" w:rsidRPr="00AA6692">
        <w:rPr>
          <w:highlight w:val="lightGray"/>
        </w:rPr>
        <w:t>z</w:t>
      </w:r>
      <w:r w:rsidR="00417433" w:rsidRPr="00AA6692">
        <w:rPr>
          <w:highlight w:val="lightGray"/>
        </w:rPr>
        <w:t> </w:t>
      </w:r>
      <w:r w:rsidR="00792B6D" w:rsidRPr="00AA6692">
        <w:rPr>
          <w:highlight w:val="lightGray"/>
        </w:rPr>
        <w:t>veřejných prostředků a o změně některých souvisejících zákonů (zákon o podpoře výzkumu</w:t>
      </w:r>
      <w:r w:rsidR="00316826" w:rsidRPr="00AA6692">
        <w:rPr>
          <w:highlight w:val="lightGray"/>
        </w:rPr>
        <w:t>, experimentálního</w:t>
      </w:r>
      <w:r w:rsidR="00E71084" w:rsidRPr="00AA6692">
        <w:rPr>
          <w:highlight w:val="lightGray"/>
        </w:rPr>
        <w:t xml:space="preserve"> vývoje</w:t>
      </w:r>
      <w:r w:rsidR="00316826" w:rsidRPr="00AA6692">
        <w:rPr>
          <w:highlight w:val="lightGray"/>
        </w:rPr>
        <w:t xml:space="preserve"> a inovací</w:t>
      </w:r>
      <w:r w:rsidR="00792B6D" w:rsidRPr="00AA6692">
        <w:rPr>
          <w:highlight w:val="lightGray"/>
        </w:rPr>
        <w:t>)</w:t>
      </w:r>
      <w:r w:rsidR="00093D3F" w:rsidRPr="00AA6692">
        <w:rPr>
          <w:highlight w:val="lightGray"/>
        </w:rPr>
        <w:t>,</w:t>
      </w:r>
      <w:r w:rsidR="00792B6D" w:rsidRPr="00AA6692">
        <w:rPr>
          <w:highlight w:val="lightGray"/>
        </w:rPr>
        <w:t xml:space="preserve"> ve znění pozdějších předpisů</w:t>
      </w:r>
      <w:r w:rsidR="00792B6D" w:rsidRPr="00AA6692">
        <w:rPr>
          <w:rStyle w:val="Znakapoznpodarou"/>
          <w:highlight w:val="lightGray"/>
        </w:rPr>
        <w:footnoteReference w:id="2"/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7106EE5B" w14:textId="3AA7C53E" w:rsidR="001C0B54" w:rsidRPr="00AA6692" w:rsidRDefault="001C0B54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AA6692">
        <w:rPr>
          <w:i/>
          <w:highlight w:val="lightGray"/>
        </w:rPr>
        <w:t xml:space="preserve">uveďte </w:t>
      </w:r>
      <w:r w:rsidR="000E114A" w:rsidRPr="00AA6692">
        <w:rPr>
          <w:i/>
          <w:highlight w:val="lightGray"/>
        </w:rPr>
        <w:t>podporované</w:t>
      </w:r>
      <w:r w:rsidRPr="00AA6692">
        <w:rPr>
          <w:i/>
          <w:highlight w:val="lightGray"/>
        </w:rPr>
        <w:t xml:space="preserve"> aktivity </w:t>
      </w:r>
      <w:r w:rsidR="008A12D1" w:rsidRPr="00AA6692">
        <w:rPr>
          <w:i/>
          <w:highlight w:val="lightGray"/>
        </w:rPr>
        <w:t>/ cíle výzvy</w:t>
      </w:r>
    </w:p>
    <w:p w14:paraId="194F15A8" w14:textId="77777777" w:rsidR="008D492A" w:rsidRPr="00AA6692" w:rsidRDefault="008D492A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AA6692">
              <w:rPr>
                <w:highlight w:val="lightGray"/>
              </w:rPr>
              <w:t>z toho z Evropského fondu pro regionální rozvoj</w:t>
            </w:r>
            <w:r w:rsidR="006C5D36" w:rsidRPr="00AA6692">
              <w:rPr>
                <w:highlight w:val="lightGray"/>
              </w:rPr>
              <w:t xml:space="preserve"> (dále jen „EFRR“)</w:t>
            </w:r>
            <w:r w:rsidRPr="00AA6692">
              <w:rPr>
                <w:highlight w:val="lightGray"/>
              </w:rPr>
              <w:t>,</w:t>
            </w:r>
            <w:r w:rsidR="00B5238B" w:rsidRPr="00AA6692">
              <w:rPr>
                <w:rStyle w:val="Znakapoznpodarou"/>
                <w:highlight w:val="lightGray"/>
              </w:rPr>
              <w:footnoteReference w:id="7"/>
            </w:r>
          </w:p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AA6692">
              <w:rPr>
                <w:highlight w:val="lightGray"/>
              </w:rPr>
              <w:t>z toho z Evropského sociálního fondu</w:t>
            </w:r>
            <w:r w:rsidR="00C95DCF" w:rsidRPr="00AA6692">
              <w:rPr>
                <w:highlight w:val="lightGray"/>
              </w:rPr>
              <w:t xml:space="preserve"> plus</w:t>
            </w:r>
            <w:r w:rsidR="006C5D36" w:rsidRPr="00AA6692">
              <w:rPr>
                <w:highlight w:val="lightGray"/>
              </w:rPr>
              <w:t xml:space="preserve"> (dále jen „ESF</w:t>
            </w:r>
            <w:r w:rsidR="00C95DCF" w:rsidRPr="00AA6692">
              <w:rPr>
                <w:highlight w:val="lightGray"/>
              </w:rPr>
              <w:t>+</w:t>
            </w:r>
            <w:r w:rsidR="006C5D36" w:rsidRPr="00AA6692">
              <w:rPr>
                <w:highlight w:val="lightGray"/>
              </w:rPr>
              <w:t>“)</w:t>
            </w:r>
            <w:r w:rsidRPr="00AA6692">
              <w:rPr>
                <w:highlight w:val="lightGray"/>
              </w:rPr>
              <w:t>,</w:t>
            </w:r>
            <w:r w:rsidR="001E76C4" w:rsidRPr="00AA6692">
              <w:rPr>
                <w:rStyle w:val="Znakapoznpodarou"/>
                <w:highlight w:val="lightGray"/>
              </w:rPr>
              <w:footnoteReference w:id="8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AA6692">
              <w:rPr>
                <w:highlight w:val="lightGray"/>
              </w:rPr>
              <w:t>Prostředky poskytnuté v režimu de minimis dle Nařízení Komise (EU) č. 1407/2013</w:t>
            </w:r>
            <w:r w:rsidR="006C5D36" w:rsidRPr="00AA6692">
              <w:rPr>
                <w:rStyle w:val="Znakapoznpodarou"/>
                <w:highlight w:val="lightGray"/>
              </w:rPr>
              <w:footnoteReference w:id="10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5E4F44" w:rsidRPr="00347CB3" w14:paraId="4F05E196" w14:textId="77777777" w:rsidTr="00DC1AD9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AA6692">
              <w:rPr>
                <w:highlight w:val="lightGray"/>
              </w:rPr>
              <w:t>Prostředky poskytnuté dle Nařízení Komise (EU) č.</w:t>
            </w:r>
            <w:r w:rsidR="00CB7BC7" w:rsidRPr="00AA6692">
              <w:rPr>
                <w:highlight w:val="lightGray"/>
              </w:rPr>
              <w:t> </w:t>
            </w:r>
            <w:r w:rsidRPr="00AA6692">
              <w:rPr>
                <w:highlight w:val="lightGray"/>
              </w:rPr>
              <w:t>651/2014</w:t>
            </w:r>
            <w:r w:rsidRPr="00AA6692">
              <w:rPr>
                <w:highlight w:val="lightGray"/>
                <w:vertAlign w:val="superscript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3FD71BB6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E869B0" w:rsidRPr="00347CB3" w14:paraId="2ADB9B4D" w14:textId="77777777" w:rsidTr="00DC1AD9">
        <w:tc>
          <w:tcPr>
            <w:tcW w:w="5103" w:type="dxa"/>
            <w:vAlign w:val="center"/>
          </w:tcPr>
          <w:p w14:paraId="09891165" w14:textId="3A4EDF4C" w:rsidR="00E869B0" w:rsidRPr="00AA6692" w:rsidRDefault="00E869B0" w:rsidP="00BB3DBA">
            <w:pPr>
              <w:pStyle w:val="Tabulkatext"/>
              <w:spacing w:after="0"/>
              <w:rPr>
                <w:highlight w:val="lightGray"/>
              </w:rPr>
            </w:pPr>
            <w:r w:rsidRPr="00AA6692">
              <w:rPr>
                <w:highlight w:val="lightGray"/>
              </w:rPr>
              <w:lastRenderedPageBreak/>
              <w:t>Prostředky poskytnuté v režimu služeb obecného hospodářského zájmu</w:t>
            </w:r>
            <w:r w:rsidR="00A9621B" w:rsidRPr="00AA6692">
              <w:rPr>
                <w:highlight w:val="lightGray"/>
              </w:rPr>
              <w:t xml:space="preserve"> dle Rozhodnutí Komise </w:t>
            </w:r>
            <w:r w:rsidR="006F3420" w:rsidRPr="00AA6692">
              <w:rPr>
                <w:highlight w:val="lightGray"/>
              </w:rPr>
              <w:t xml:space="preserve">č. </w:t>
            </w:r>
            <w:r w:rsidR="00A9621B" w:rsidRPr="00AA6692">
              <w:rPr>
                <w:highlight w:val="lightGray"/>
              </w:rPr>
              <w:t>2012/21/EU</w:t>
            </w:r>
            <w:r w:rsidR="006F3420" w:rsidRPr="00AA6692">
              <w:rPr>
                <w:rStyle w:val="Znakapoznpodarou"/>
                <w:highlight w:val="lightGray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6A6CF501" w14:textId="7BDA3E64" w:rsidR="00E869B0" w:rsidRPr="00347CB3" w:rsidRDefault="00E869B0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710012BC" w14:textId="7ED939B4" w:rsidR="00E869B0" w:rsidRPr="00347CB3" w:rsidRDefault="00E058E6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21C54ECA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SF</w:t>
      </w:r>
      <w:r w:rsidR="00C95DCF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="00340D98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FRR</w:t>
      </w:r>
      <w:r w:rsidR="00EB75DE" w:rsidRPr="00AA6692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13"/>
      </w:r>
      <w:r w:rsidR="0029541C" w:rsidRPr="00AA6692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27A23594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="0005487A" w:rsidRPr="00AA6692">
        <w:rPr>
          <w:b w:val="0"/>
          <w:highlight w:val="lightGray"/>
          <w:vertAlign w:val="superscript"/>
        </w:rPr>
        <w:footnoteReference w:id="14"/>
      </w:r>
      <w:r w:rsidRPr="0041292C">
        <w:rPr>
          <w:b w:val="0"/>
        </w:rPr>
        <w:t>.</w:t>
      </w:r>
    </w:p>
    <w:p w14:paraId="4F05E1A6" w14:textId="718DB3A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[…]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</w:t>
      </w:r>
      <w:r w:rsidR="00432FF9" w:rsidRPr="00AA6692">
        <w:rPr>
          <w:rStyle w:val="Znakapoznpodarou"/>
          <w:rFonts w:cs="Arial"/>
          <w:b w:val="0"/>
          <w:szCs w:val="22"/>
          <w:highlight w:val="lightGray"/>
        </w:rPr>
        <w:footnoteReference w:id="15"/>
      </w:r>
      <w:r w:rsidR="00432FF9" w:rsidRPr="0041292C">
        <w:rPr>
          <w:b w:val="0"/>
        </w:rPr>
        <w:t>.</w:t>
      </w:r>
    </w:p>
    <w:p w14:paraId="4F05E1A7" w14:textId="0B08FBC1" w:rsidR="00432FF9" w:rsidRPr="00AA6692" w:rsidRDefault="00432FF9" w:rsidP="00B348B1">
      <w:pPr>
        <w:spacing w:before="120" w:after="0"/>
        <w:ind w:left="426" w:hanging="1"/>
        <w:rPr>
          <w:highlight w:val="lightGray"/>
        </w:rPr>
      </w:pPr>
      <w:r w:rsidRPr="00AA6692">
        <w:rPr>
          <w:b/>
          <w:highlight w:val="lightGray"/>
        </w:rPr>
        <w:t>Varianta pro paušální náklady (</w:t>
      </w:r>
      <w:r w:rsidR="002863F2" w:rsidRPr="00AA6692">
        <w:rPr>
          <w:b/>
          <w:highlight w:val="lightGray"/>
        </w:rPr>
        <w:t xml:space="preserve">15 % a </w:t>
      </w:r>
      <w:r w:rsidRPr="00AA6692">
        <w:rPr>
          <w:b/>
          <w:highlight w:val="lightGray"/>
        </w:rPr>
        <w:t>40 %):</w:t>
      </w:r>
      <w:r w:rsidR="008937FF" w:rsidRPr="00AA6692">
        <w:rPr>
          <w:rStyle w:val="Znakapoznpodarou"/>
          <w:bCs/>
          <w:highlight w:val="lightGray"/>
        </w:rPr>
        <w:footnoteReference w:id="16"/>
      </w:r>
      <w:r w:rsidRPr="008937FF">
        <w:t xml:space="preserve"> </w:t>
      </w:r>
      <w:r w:rsidR="008937FF">
        <w:t>S</w:t>
      </w:r>
      <w:r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Pr="0087426A">
        <w:t xml:space="preserve">se rovná součinu paušální sazby a skutečně vynaložených a schválených </w:t>
      </w:r>
      <w:r w:rsidR="00C60DB6">
        <w:t>výdajů</w:t>
      </w:r>
      <w:r w:rsidR="00C60DB6" w:rsidRPr="0087426A">
        <w:t xml:space="preserve"> </w:t>
      </w:r>
      <w:r w:rsidRPr="0087426A">
        <w:t>projektu</w:t>
      </w:r>
      <w:r w:rsidR="002863F2" w:rsidRPr="0087426A">
        <w:t xml:space="preserve"> na hlavní projektový tým</w:t>
      </w:r>
      <w:r w:rsidRPr="0087426A">
        <w:t>.</w:t>
      </w:r>
    </w:p>
    <w:p w14:paraId="4F05E1B3" w14:textId="38D35609" w:rsidR="0078756E" w:rsidRPr="00347CB3" w:rsidRDefault="002863F2" w:rsidP="00B348B1">
      <w:pPr>
        <w:spacing w:before="120" w:after="0"/>
        <w:ind w:left="426" w:hanging="1"/>
      </w:pPr>
      <w:r w:rsidRPr="00AA6692">
        <w:rPr>
          <w:b/>
          <w:highlight w:val="lightGray"/>
        </w:rPr>
        <w:t>Varianta pro paušální náklady (7 %):</w:t>
      </w:r>
      <w:r w:rsidRPr="008937FF">
        <w:t xml:space="preserve"> </w:t>
      </w:r>
      <w:r w:rsidR="008937FF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087410">
        <w:t>výdajů</w:t>
      </w:r>
      <w:r w:rsidR="00087410" w:rsidRPr="0087426A">
        <w:t xml:space="preserve"> </w:t>
      </w:r>
      <w:r w:rsidR="00CE6E47" w:rsidRPr="0087426A">
        <w:t xml:space="preserve">tvořících základ pro výpočet paušálních </w:t>
      </w:r>
      <w:r w:rsidR="00087410">
        <w:t>nákladů</w:t>
      </w:r>
      <w:r w:rsidR="00087410" w:rsidRPr="0087426A">
        <w:t xml:space="preserve"> </w:t>
      </w:r>
      <w:r w:rsidR="00CE6E47" w:rsidRPr="0087426A">
        <w:t>(tj.</w:t>
      </w:r>
      <w:r w:rsidR="00087410">
        <w:t xml:space="preserve"> sumy výdajů uvedených v kategorii rozpočtu 1.1.1</w:t>
      </w:r>
      <w:r w:rsidR="00CE6E47">
        <w:t>)</w:t>
      </w:r>
      <w:r w:rsidRPr="0087426A">
        <w:t>.</w:t>
      </w:r>
    </w:p>
    <w:p w14:paraId="56ED8B88" w14:textId="5715E96A" w:rsidR="005300A6" w:rsidRPr="00AA6692" w:rsidRDefault="005300A6" w:rsidP="00B348B1">
      <w:pPr>
        <w:spacing w:before="120"/>
        <w:ind w:left="426" w:hanging="1"/>
        <w:rPr>
          <w:highlight w:val="lightGray"/>
        </w:rPr>
      </w:pPr>
      <w:r w:rsidRPr="00AA6692">
        <w:rPr>
          <w:b/>
          <w:highlight w:val="lightGray"/>
        </w:rPr>
        <w:t>Varianta pro paušální náklady (20 %):</w:t>
      </w:r>
      <w:r w:rsidRPr="008937FF">
        <w:t xml:space="preserve"> </w:t>
      </w:r>
      <w:r w:rsidR="008937FF">
        <w:t>S</w:t>
      </w:r>
      <w:r w:rsidRPr="0087426A">
        <w:t xml:space="preserve">kutečná výše způsobilých paušálních nákladů se rovná součinu paušální sazby a skutečně vynaložených a schválených </w:t>
      </w:r>
      <w:r w:rsidR="0041083C">
        <w:t>výdajů</w:t>
      </w:r>
      <w:r w:rsidRPr="0087426A">
        <w:t xml:space="preserve"> tvořících základ pro výpočet paušálních </w:t>
      </w:r>
      <w:r w:rsidR="00DC3154">
        <w:t>nákladů</w:t>
      </w:r>
      <w:r w:rsidR="00DC3154" w:rsidRPr="0087426A">
        <w:t xml:space="preserve"> </w:t>
      </w:r>
      <w:r w:rsidRPr="0087426A">
        <w:t xml:space="preserve">(tj. přímých </w:t>
      </w:r>
      <w:r w:rsidR="001C6C57">
        <w:t>výdajů</w:t>
      </w:r>
      <w:r w:rsidRPr="00AA6692">
        <w:rPr>
          <w:highlight w:val="lightGray"/>
        </w:rPr>
        <w:t>,</w:t>
      </w:r>
      <w:r w:rsidRPr="00AA6692" w:rsidDel="00CE6E47">
        <w:rPr>
          <w:highlight w:val="lightGray"/>
        </w:rPr>
        <w:t xml:space="preserve"> </w:t>
      </w:r>
      <w:r w:rsidRPr="00AA6692">
        <w:rPr>
          <w:highlight w:val="lightGray"/>
        </w:rPr>
        <w:t>jednorázových částek a jednotkových nákladů</w:t>
      </w:r>
      <w:r w:rsidRPr="00AA6692">
        <w:rPr>
          <w:rStyle w:val="Znakapoznpodarou"/>
          <w:highlight w:val="lightGray"/>
        </w:rPr>
        <w:footnoteReference w:id="17"/>
      </w:r>
      <w:r>
        <w:t>)</w:t>
      </w:r>
      <w:r w:rsidRPr="0087426A">
        <w:t>.</w:t>
      </w:r>
    </w:p>
    <w:p w14:paraId="46C2952F" w14:textId="77777777" w:rsidR="004C100F" w:rsidRDefault="004C100F" w:rsidP="007E3CE5">
      <w:pPr>
        <w:spacing w:after="0"/>
        <w:jc w:val="left"/>
        <w:rPr>
          <w:b/>
        </w:rPr>
      </w:pP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4EE28D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lastRenderedPageBreak/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3E8B9BEF" w:rsidR="00B8281E" w:rsidRPr="00FA1CE2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AA6692">
        <w:rPr>
          <w:highlight w:val="lightGray"/>
        </w:rPr>
        <w:t>A</w:t>
      </w:r>
      <w:bookmarkStart w:id="1" w:name="_Hlk125040098"/>
      <w:r w:rsidR="00AB1E0D" w:rsidRPr="00AA6692">
        <w:rPr>
          <w:rStyle w:val="Znakapoznpodarou"/>
          <w:b w:val="0"/>
          <w:bCs/>
          <w:highlight w:val="lightGray"/>
        </w:rPr>
        <w:footnoteReference w:id="18"/>
      </w:r>
      <w:r w:rsidRPr="008937FF">
        <w:rPr>
          <w:b w:val="0"/>
          <w:bCs/>
        </w:rPr>
        <w:tab/>
      </w:r>
      <w:bookmarkEnd w:id="1"/>
      <w:r w:rsidR="00DE44DD"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6E6379" w:rsidDel="00FA1CE2">
        <w:rPr>
          <w:b w:val="0"/>
        </w:rPr>
        <w:t xml:space="preserve"> 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 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="00DE44DD" w:rsidRPr="00FA1CE2">
        <w:rPr>
          <w:b w:val="0"/>
        </w:rPr>
        <w:t xml:space="preserve">není vyžadována. </w:t>
      </w:r>
    </w:p>
    <w:p w14:paraId="4F05E1C2" w14:textId="343ECDE5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 w:rsidRPr="00AA669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AA6692">
        <w:rPr>
          <w:b w:val="0"/>
          <w:color w:val="080808"/>
          <w:highlight w:val="lightGray"/>
        </w:rPr>
        <w:t xml:space="preserve">v souladu s </w:t>
      </w:r>
      <w:r w:rsidRPr="00AA6692">
        <w:rPr>
          <w:b w:val="0"/>
          <w:color w:val="080808"/>
          <w:highlight w:val="lightGray"/>
        </w:rPr>
        <w:t xml:space="preserve"> </w:t>
      </w:r>
      <w:r w:rsidRPr="00AA6692">
        <w:rPr>
          <w:b w:val="0"/>
          <w:highlight w:val="lightGray"/>
        </w:rPr>
        <w:t xml:space="preserve">čl. </w:t>
      </w:r>
      <w:r w:rsidR="00FD4696" w:rsidRPr="00AA6692">
        <w:rPr>
          <w:b w:val="0"/>
          <w:highlight w:val="lightGray"/>
        </w:rPr>
        <w:t>65</w:t>
      </w:r>
      <w:r w:rsidRPr="00AA6692">
        <w:rPr>
          <w:b w:val="0"/>
          <w:highlight w:val="lightGray"/>
        </w:rPr>
        <w:t xml:space="preserve"> Nařízení Evropského parlamentu a Rady (EU) č. </w:t>
      </w:r>
      <w:r w:rsidR="00FA1CE2" w:rsidRPr="00AA6692">
        <w:rPr>
          <w:b w:val="0"/>
          <w:highlight w:val="lightGray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AA6692">
        <w:rPr>
          <w:b w:val="0"/>
          <w:highlight w:val="lightGray"/>
        </w:rPr>
        <w:t> </w:t>
      </w:r>
      <w:r w:rsidR="00FA1CE2" w:rsidRPr="00AA6692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A6692" w:rsidDel="00FA1CE2">
        <w:rPr>
          <w:b w:val="0"/>
          <w:highlight w:val="lightGray"/>
        </w:rPr>
        <w:t xml:space="preserve"> </w:t>
      </w:r>
      <w:r w:rsidR="00030703" w:rsidRPr="00AA6692">
        <w:rPr>
          <w:b w:val="0"/>
          <w:color w:val="080808"/>
          <w:highlight w:val="lightGray"/>
        </w:rPr>
        <w:t>a</w:t>
      </w:r>
      <w:bookmarkStart w:id="2" w:name="_Hlk125040544"/>
      <w:r w:rsidR="00D127BD" w:rsidRPr="00AA6692">
        <w:rPr>
          <w:rStyle w:val="Znakapoznpodarou"/>
          <w:b w:val="0"/>
          <w:highlight w:val="lightGray"/>
        </w:rPr>
        <w:footnoteReference w:id="19"/>
      </w:r>
      <w:bookmarkEnd w:id="2"/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AA6692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p w14:paraId="4F05E1C5" w14:textId="129A9C0A" w:rsidR="00DE44DD" w:rsidRPr="00DC1AD9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4" w:name="_Ref465174751"/>
      <w:bookmarkEnd w:id="3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5" w:name="_Hlk125039065"/>
      <w:r w:rsidR="00145833" w:rsidRPr="00AA6692">
        <w:rPr>
          <w:rStyle w:val="Znakapoznpodarou"/>
          <w:b w:val="0"/>
          <w:highlight w:val="lightGray"/>
        </w:rPr>
        <w:footnoteReference w:id="20"/>
      </w:r>
      <w:bookmarkEnd w:id="5"/>
      <w:r w:rsidR="00765098" w:rsidRPr="00DC1AD9">
        <w:rPr>
          <w:b w:val="0"/>
          <w:highlight w:val="lightGray"/>
        </w:rPr>
        <w:t>:</w:t>
      </w:r>
      <w:bookmarkEnd w:id="4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DC1AD9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833CEF">
              <w:rPr>
                <w:rStyle w:val="Znakapoznpodarou"/>
                <w:bCs/>
              </w:rPr>
              <w:footnoteReference w:id="2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DC1AD9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A669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DC1AD9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A669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30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6A6DF038" w:rsidR="009F7F0D" w:rsidRPr="00DC1AD9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1–</w:t>
            </w:r>
            <w:r w:rsidR="009F7F0D" w:rsidRPr="00DC1AD9">
              <w:rPr>
                <w:highlight w:val="lightGray"/>
              </w:rPr>
              <w:t>6</w:t>
            </w:r>
            <w:r w:rsidR="002C1E3D" w:rsidRPr="00AA6692">
              <w:rPr>
                <w:rStyle w:val="Znakapoznpodarou"/>
                <w:sz w:val="22"/>
                <w:szCs w:val="22"/>
                <w:highlight w:val="lightGray"/>
              </w:rPr>
              <w:footnoteReference w:id="2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AA6692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70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(30 + 40)</w:t>
            </w:r>
            <w:r w:rsidR="00A4320E" w:rsidRPr="00AA6692">
              <w:rPr>
                <w:rStyle w:val="Znakapoznpodarou"/>
                <w:highlight w:val="lightGray"/>
              </w:rPr>
              <w:footnoteReference w:id="23"/>
            </w:r>
          </w:p>
        </w:tc>
      </w:tr>
    </w:tbl>
    <w:p w14:paraId="161D9370" w14:textId="1338A03D" w:rsidR="008D35FA" w:rsidRDefault="004B0911" w:rsidP="00DC1AD9">
      <w:pPr>
        <w:pStyle w:val="Headline2proTP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57AAAB0E" w:rsidR="008D35FA" w:rsidRPr="00AA6692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  <w:highlight w:val="lightGray"/>
        </w:rPr>
      </w:pPr>
      <w:r w:rsidRPr="00AA669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AA6692">
        <w:rPr>
          <w:b w:val="0"/>
          <w:highlight w:val="lightGray"/>
        </w:rPr>
        <w:t xml:space="preserve"> </w:t>
      </w:r>
      <w:r w:rsidRPr="00AA6692">
        <w:rPr>
          <w:b w:val="0"/>
          <w:highlight w:val="lightGray"/>
        </w:rPr>
        <w:t>investičních a neinvestičních výdajů pouze tehdy, pokud je vyplacení zálohy i změna provedena ve stejném kalendářním roce.</w:t>
      </w:r>
      <w:r w:rsidR="004F3303" w:rsidRPr="00AA6692">
        <w:rPr>
          <w:rStyle w:val="Znakapoznpodarou"/>
          <w:b w:val="0"/>
          <w:highlight w:val="lightGray"/>
        </w:rPr>
        <w:footnoteReference w:id="24"/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4A7A8B72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Čerpání </w:t>
      </w:r>
      <w:r w:rsidR="002935ED" w:rsidRPr="002935ED">
        <w:rPr>
          <w:b w:val="0"/>
        </w:rPr>
        <w:lastRenderedPageBreak/>
        <w:t>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6" w:name="_Ref211603954"/>
    </w:p>
    <w:bookmarkEnd w:id="6"/>
    <w:p w14:paraId="4F05E1DA" w14:textId="5E0A84B8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AA6692">
        <w:rPr>
          <w:b w:val="0"/>
          <w:highlight w:val="lightGray"/>
        </w:rPr>
        <w:t>a udržitelnost projektu</w:t>
      </w:r>
      <w:r w:rsidR="00721C94" w:rsidRPr="00AA6692">
        <w:rPr>
          <w:rStyle w:val="Znakapoznpodarou"/>
          <w:b w:val="0"/>
          <w:highlight w:val="lightGray"/>
        </w:rPr>
        <w:footnoteReference w:id="25"/>
      </w:r>
      <w:r w:rsidR="00DA1279" w:rsidRPr="006F7532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5A446EED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7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AA6692">
        <w:rPr>
          <w:b w:val="0"/>
          <w:highlight w:val="lightGray"/>
        </w:rPr>
        <w:t>U ESF</w:t>
      </w:r>
      <w:r w:rsidR="00DC55DE" w:rsidRPr="00AA6692">
        <w:rPr>
          <w:b w:val="0"/>
          <w:highlight w:val="lightGray"/>
        </w:rPr>
        <w:t>+</w:t>
      </w:r>
      <w:r w:rsidR="00D273DB" w:rsidRPr="00AA6692">
        <w:rPr>
          <w:b w:val="0"/>
          <w:highlight w:val="lightGray"/>
        </w:rPr>
        <w:t xml:space="preserve"> pro</w:t>
      </w:r>
      <w:r w:rsidR="00315224" w:rsidRPr="00AA6692">
        <w:rPr>
          <w:b w:val="0"/>
          <w:highlight w:val="lightGray"/>
        </w:rPr>
        <w:softHyphen/>
      </w:r>
      <w:r w:rsidR="00D273DB" w:rsidRPr="00AA6692">
        <w:rPr>
          <w:b w:val="0"/>
          <w:highlight w:val="lightGray"/>
        </w:rPr>
        <w:t>jektů</w:t>
      </w:r>
      <w:r w:rsidR="00B020BC" w:rsidRPr="00AA6692">
        <w:rPr>
          <w:b w:val="0"/>
          <w:highlight w:val="lightGray"/>
          <w:vertAlign w:val="superscript"/>
        </w:rPr>
        <w:footnoteReference w:id="26"/>
      </w:r>
      <w:r w:rsidR="004F317E" w:rsidRPr="00AA6692">
        <w:rPr>
          <w:b w:val="0"/>
          <w:highlight w:val="lightGray"/>
        </w:rPr>
        <w:t xml:space="preserve">, které vykazují indikátor </w:t>
      </w:r>
      <w:r w:rsidR="001540F7" w:rsidRPr="00AA6692">
        <w:rPr>
          <w:b w:val="0"/>
          <w:highlight w:val="lightGray"/>
        </w:rPr>
        <w:t>600</w:t>
      </w:r>
      <w:r w:rsidR="00E71084" w:rsidRPr="00AA6692">
        <w:rPr>
          <w:b w:val="0"/>
          <w:highlight w:val="lightGray"/>
        </w:rPr>
        <w:t> </w:t>
      </w:r>
      <w:r w:rsidR="001540F7" w:rsidRPr="00AA6692">
        <w:rPr>
          <w:b w:val="0"/>
          <w:highlight w:val="lightGray"/>
        </w:rPr>
        <w:t xml:space="preserve">000 </w:t>
      </w:r>
      <w:r w:rsidR="004F317E" w:rsidRPr="00AA6692">
        <w:rPr>
          <w:b w:val="0"/>
          <w:highlight w:val="lightGray"/>
        </w:rPr>
        <w:t>Celkový počet účastníků</w:t>
      </w:r>
      <w:r w:rsidR="00464CA5" w:rsidRPr="00AA6692">
        <w:rPr>
          <w:b w:val="0"/>
          <w:highlight w:val="lightGray"/>
        </w:rPr>
        <w:t>,</w:t>
      </w:r>
      <w:r w:rsidR="00D273DB" w:rsidRPr="00AA6692">
        <w:rPr>
          <w:b w:val="0"/>
          <w:highlight w:val="lightGray"/>
        </w:rPr>
        <w:t xml:space="preserve"> je </w:t>
      </w:r>
      <w:r w:rsidR="00EE35F1" w:rsidRPr="00AA6692">
        <w:rPr>
          <w:b w:val="0"/>
          <w:highlight w:val="lightGray"/>
        </w:rPr>
        <w:t>P</w:t>
      </w:r>
      <w:r w:rsidR="00D273DB" w:rsidRPr="00AA6692">
        <w:rPr>
          <w:b w:val="0"/>
          <w:highlight w:val="lightGray"/>
        </w:rPr>
        <w:t>říjemce</w:t>
      </w:r>
      <w:r w:rsidR="00B04E6A" w:rsidRPr="00AA6692">
        <w:rPr>
          <w:b w:val="0"/>
          <w:highlight w:val="lightGray"/>
        </w:rPr>
        <w:t xml:space="preserve"> dále</w:t>
      </w:r>
      <w:r w:rsidR="00D273DB" w:rsidRPr="00AA6692">
        <w:rPr>
          <w:b w:val="0"/>
          <w:highlight w:val="lightGray"/>
        </w:rPr>
        <w:t xml:space="preserve"> povinen vykazovat indikátory dle Přílohy 1 </w:t>
      </w:r>
      <w:r w:rsidR="00C805B9" w:rsidRPr="00AA6692">
        <w:rPr>
          <w:b w:val="0"/>
          <w:highlight w:val="lightGray"/>
        </w:rPr>
        <w:t>Nařízení č. 2021/1057</w:t>
      </w:r>
      <w:r w:rsidR="00D273DB" w:rsidRPr="00AA6692">
        <w:rPr>
          <w:b w:val="0"/>
          <w:highlight w:val="lightGray"/>
        </w:rPr>
        <w:t>.</w:t>
      </w:r>
      <w:bookmarkEnd w:id="7"/>
      <w:r w:rsidR="00F05F6B" w:rsidRPr="00DC1AD9">
        <w:rPr>
          <w:rStyle w:val="Znakapoznpodarou"/>
          <w:b w:val="0"/>
        </w:rPr>
        <w:footnoteReference w:id="27"/>
      </w:r>
    </w:p>
    <w:p w14:paraId="263C2A4E" w14:textId="5E0BC7D9" w:rsidR="005D1B51" w:rsidRPr="00514182" w:rsidRDefault="00480809" w:rsidP="00BE7CE1">
      <w:pPr>
        <w:pStyle w:val="Headline2proTP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33CE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bookmarkStart w:id="8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27C6963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9" w:name="_Hlk124233936"/>
      <w:r w:rsidR="00145833" w:rsidRPr="00AA6692">
        <w:rPr>
          <w:rStyle w:val="Znakapoznpodarou"/>
          <w:rFonts w:cs="Arial"/>
          <w:highlight w:val="lightGray"/>
        </w:rPr>
        <w:footnoteReference w:id="28"/>
      </w:r>
      <w:bookmarkEnd w:id="9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bookmarkEnd w:id="8"/>
    <w:p w14:paraId="599985A5" w14:textId="78A776AF" w:rsidR="004C2A82" w:rsidRDefault="004C2A82">
      <w:pPr>
        <w:spacing w:before="120" w:after="0"/>
        <w:ind w:left="425"/>
        <w:rPr>
          <w:rFonts w:cs="Arial"/>
          <w:i/>
          <w:iCs/>
        </w:rPr>
      </w:pPr>
      <w:r w:rsidRPr="00AA6692">
        <w:rPr>
          <w:rFonts w:cs="Arial"/>
          <w:i/>
          <w:iCs/>
          <w:highlight w:val="lightGray"/>
        </w:rPr>
        <w:t>Varianta pro projekty s </w:t>
      </w:r>
      <w:r w:rsidR="00346116" w:rsidRPr="00AA6692">
        <w:rPr>
          <w:rFonts w:cs="Arial"/>
          <w:i/>
          <w:iCs/>
          <w:highlight w:val="lightGray"/>
        </w:rPr>
        <w:t>vykázáním</w:t>
      </w:r>
      <w:r w:rsidRPr="00AA6692">
        <w:rPr>
          <w:rFonts w:cs="Arial"/>
          <w:i/>
          <w:iCs/>
          <w:highlight w:val="lightGray"/>
        </w:rPr>
        <w:t xml:space="preserve"> indikátorů výsledku v udržitelnosti:</w:t>
      </w:r>
      <w:r w:rsidR="00346116" w:rsidRPr="00AA6692">
        <w:rPr>
          <w:rStyle w:val="Znakapoznpodarou"/>
          <w:rFonts w:cs="Arial"/>
          <w:highlight w:val="lightGray"/>
        </w:rPr>
        <w:footnoteReference w:id="29"/>
      </w:r>
    </w:p>
    <w:p w14:paraId="7EA717EF" w14:textId="206CC577" w:rsidR="004C2A82" w:rsidRPr="00AA6692" w:rsidRDefault="004C2A82" w:rsidP="00833CEF">
      <w:pPr>
        <w:pStyle w:val="Headline2proTP"/>
        <w:numPr>
          <w:ilvl w:val="0"/>
          <w:numId w:val="0"/>
        </w:numPr>
        <w:spacing w:before="120" w:after="0"/>
        <w:ind w:left="426"/>
        <w:rPr>
          <w:b w:val="0"/>
          <w:highlight w:val="lightGray"/>
        </w:rPr>
      </w:pPr>
      <w:bookmarkStart w:id="10" w:name="_Hlk109808770"/>
      <w:r w:rsidRPr="00AA6692">
        <w:rPr>
          <w:b w:val="0"/>
          <w:highlight w:val="lightGray"/>
        </w:rPr>
        <w:t>Příjemce je povinen naplnit a ve zprávách projektu dle PpŽP vykázat indikátory:</w:t>
      </w:r>
    </w:p>
    <w:p w14:paraId="6B4E2CD9" w14:textId="77777777" w:rsidR="004C2A82" w:rsidRPr="00AA6692" w:rsidRDefault="004C2A82" w:rsidP="00833CEF">
      <w:pPr>
        <w:pStyle w:val="Headline2proTP"/>
        <w:numPr>
          <w:ilvl w:val="0"/>
          <w:numId w:val="38"/>
        </w:numPr>
        <w:spacing w:before="120" w:after="0"/>
        <w:ind w:hanging="294"/>
        <w:rPr>
          <w:b w:val="0"/>
          <w:highlight w:val="lightGray"/>
        </w:rPr>
      </w:pPr>
      <w:r w:rsidRPr="00AA6692">
        <w:rPr>
          <w:b w:val="0"/>
          <w:highlight w:val="lightGray"/>
        </w:rPr>
        <w:t>výstupu v průměru minimálně na 90 % cílových hodnot stanovených v Příloze č. 1 tohoto Rozhodnutí, a to do data ukončení fyzické realizace projektu,</w:t>
      </w:r>
    </w:p>
    <w:bookmarkEnd w:id="10"/>
    <w:p w14:paraId="311B78F1" w14:textId="77777777" w:rsidR="004C2A82" w:rsidRPr="00AA6692" w:rsidRDefault="004C2A82" w:rsidP="00833CEF">
      <w:pPr>
        <w:pStyle w:val="Headline2proTP"/>
        <w:numPr>
          <w:ilvl w:val="0"/>
          <w:numId w:val="38"/>
        </w:numPr>
        <w:spacing w:after="0"/>
        <w:ind w:hanging="295"/>
        <w:rPr>
          <w:b w:val="0"/>
          <w:highlight w:val="lightGray"/>
        </w:rPr>
      </w:pPr>
      <w:r w:rsidRPr="00AA6692">
        <w:rPr>
          <w:b w:val="0"/>
          <w:highlight w:val="lightGray"/>
        </w:rPr>
        <w:t xml:space="preserve">výsledku v průměru minimálně na 90 % cílových hodnot stanovených v Příloze č. 1 tohoto Rozhodnutí, </w:t>
      </w:r>
      <w:bookmarkStart w:id="11" w:name="_Hlk109808715"/>
      <w:r w:rsidRPr="00AA6692">
        <w:rPr>
          <w:b w:val="0"/>
          <w:highlight w:val="lightGray"/>
        </w:rPr>
        <w:t>a to do data ukončení fyzické realizace projektu, není-li v Příloze č. 1 tohoto Rozhodnutí u konkrétních indikátorů výsledku uvedeno jinak.</w:t>
      </w:r>
    </w:p>
    <w:p w14:paraId="39E4366E" w14:textId="7CF544A8" w:rsidR="004C2A82" w:rsidRPr="004C2A82" w:rsidRDefault="004C2A82" w:rsidP="00833CEF">
      <w:pPr>
        <w:spacing w:before="120" w:after="0"/>
        <w:ind w:left="426"/>
        <w:rPr>
          <w:strike/>
        </w:rPr>
      </w:pPr>
      <w:r w:rsidRPr="00AA6692">
        <w:rPr>
          <w:rFonts w:cs="Arial"/>
          <w:highlight w:val="lightGray"/>
        </w:rPr>
        <w:t>Průměr je vypočten z míry naplnění každého z indikátorů vzhledem k cílové hodnotě stanovené v Příloze č. 1 dle části IV, bodu 7</w:t>
      </w:r>
      <w:bookmarkStart w:id="12" w:name="_Hlk125037202"/>
      <w:r w:rsidR="00743791" w:rsidRPr="00AA6692">
        <w:rPr>
          <w:rStyle w:val="Znakapoznpodarou"/>
          <w:rFonts w:cs="Arial"/>
          <w:highlight w:val="lightGray"/>
        </w:rPr>
        <w:footnoteReference w:id="30"/>
      </w:r>
      <w:bookmarkEnd w:id="12"/>
      <w:r w:rsidRPr="00AA6692">
        <w:rPr>
          <w:rFonts w:cs="Arial"/>
          <w:highlight w:val="lightGray"/>
        </w:rPr>
        <w:t xml:space="preserve"> tohoto Rozhodnutí.</w:t>
      </w:r>
      <w:r w:rsidRPr="004B2408">
        <w:rPr>
          <w:rFonts w:cs="Arial"/>
        </w:rPr>
        <w:t xml:space="preserve"> </w:t>
      </w:r>
      <w:bookmarkEnd w:id="11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13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13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4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4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5" w:name="_Ref456101660"/>
      <w:bookmarkStart w:id="16" w:name="_Ref464622509"/>
      <w:bookmarkEnd w:id="15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lastRenderedPageBreak/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6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7" w:name="_Ref456101688"/>
      <w:r w:rsidRPr="00347CB3">
        <w:t>Oznamovací povinnost</w:t>
      </w:r>
      <w:bookmarkEnd w:id="17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0CA3554E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8" w:name="_Ref456101718"/>
    </w:p>
    <w:bookmarkEnd w:id="18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47EB2325" w:rsidR="00025B62" w:rsidRPr="00AA669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9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20" w:name="_Hlk124234729"/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31"/>
      </w:r>
      <w:bookmarkEnd w:id="20"/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21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32"/>
      </w:r>
      <w:bookmarkEnd w:id="21"/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22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33"/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19"/>
    <w:bookmarkEnd w:id="22"/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23" w:name="_Ref456361390"/>
      <w:bookmarkStart w:id="24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34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23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1D46A300" w:rsidR="006533B2" w:rsidRPr="005E09F4" w:rsidRDefault="006533B2" w:rsidP="005B1230">
      <w:pPr>
        <w:pStyle w:val="Default"/>
        <w:widowControl w:val="0"/>
        <w:numPr>
          <w:ilvl w:val="0"/>
          <w:numId w:val="89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5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BE7CE1">
      <w:pPr>
        <w:pStyle w:val="Default"/>
        <w:widowControl w:val="0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BE7CE1">
      <w:pPr>
        <w:pStyle w:val="Headline1proTP"/>
        <w:widowControl w:val="0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456361668"/>
      <w:bookmarkEnd w:id="24"/>
      <w:bookmarkEnd w:id="25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6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7" w:name="_Ref211589877"/>
      <w:bookmarkStart w:id="28" w:name="_Ref456101762"/>
      <w:r w:rsidRPr="00347CB3">
        <w:t>Kontrola</w:t>
      </w:r>
      <w:bookmarkEnd w:id="27"/>
      <w:r w:rsidRPr="00347CB3">
        <w:t>/audit</w:t>
      </w:r>
      <w:bookmarkEnd w:id="28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9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35"/>
      </w:r>
      <w:r w:rsidR="00B52BD8" w:rsidRPr="00794D28">
        <w:rPr>
          <w:b w:val="0"/>
        </w:rPr>
        <w:t xml:space="preserve"> a PpŽP. </w:t>
      </w:r>
    </w:p>
    <w:p w14:paraId="4F05E1F7" w14:textId="0C9F9145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AA6692">
        <w:rPr>
          <w:b w:val="0"/>
          <w:highlight w:val="lightGray"/>
        </w:rPr>
        <w:t>resp. udržitelnosti projektu</w:t>
      </w:r>
      <w:r w:rsidR="00CB05B1" w:rsidRPr="00AA6692">
        <w:rPr>
          <w:rStyle w:val="Znakapoznpodarou"/>
          <w:b w:val="0"/>
          <w:highlight w:val="lightGray"/>
        </w:rPr>
        <w:footnoteReference w:id="36"/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9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0" w:name="_Ref211606163"/>
      <w:r w:rsidRPr="00347CB3">
        <w:t>Publicita</w:t>
      </w:r>
      <w:bookmarkEnd w:id="30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31" w:name="_Ref211606165"/>
      <w:r w:rsidR="0068612D">
        <w:rPr>
          <w:spacing w:val="-4"/>
        </w:rPr>
        <w:t>pŽP</w:t>
      </w:r>
      <w:r w:rsidRPr="00347CB3">
        <w:t>.</w:t>
      </w:r>
    </w:p>
    <w:bookmarkEnd w:id="31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32" w:name="_Ref211606175"/>
      <w:r w:rsidRPr="00347CB3">
        <w:t>Vypořádání projektu</w:t>
      </w:r>
      <w:bookmarkEnd w:id="32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37"/>
      </w:r>
      <w:r w:rsidR="001C0B54">
        <w:rPr>
          <w:spacing w:val="-4"/>
        </w:rPr>
        <w:t xml:space="preserve"> Vratku </w:t>
      </w:r>
      <w:r w:rsidR="001C0B54">
        <w:rPr>
          <w:spacing w:val="-4"/>
        </w:rPr>
        <w:lastRenderedPageBreak/>
        <w:t>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38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39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3" w:name="_Ref211606682"/>
      <w:r w:rsidRPr="00347CB3">
        <w:t>Uchovávání dokumentů</w:t>
      </w:r>
      <w:bookmarkEnd w:id="33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5E06BE8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AA6692">
        <w:rPr>
          <w:b w:val="0"/>
          <w:highlight w:val="lightGray"/>
        </w:rPr>
        <w:t>v okamžiku předložení závěrečné zprávy o udržitelnosti</w:t>
      </w:r>
      <w:r w:rsidR="0023718C" w:rsidRPr="00AA6692">
        <w:rPr>
          <w:b w:val="0"/>
          <w:highlight w:val="lightGray"/>
        </w:rPr>
        <w:t xml:space="preserve">,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bookmarkStart w:id="34" w:name="_Hlk125274524"/>
      <w:r w:rsidR="00656B23" w:rsidRPr="00AA6692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40"/>
      </w:r>
      <w:bookmarkEnd w:id="34"/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AA669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bookmarkStart w:id="35" w:name="_Hlk125274551"/>
      <w:r w:rsidR="006B0308" w:rsidRPr="00AA6692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41"/>
      </w:r>
      <w:bookmarkEnd w:id="35"/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6" w:name="_Ref261511254"/>
      <w:bookmarkStart w:id="37" w:name="_Hlk97304745"/>
      <w:r w:rsidRPr="00347CB3">
        <w:t>Péče o majetek</w:t>
      </w:r>
      <w:bookmarkEnd w:id="36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0C79CF83" w:rsidR="00D77D60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projektu </w:t>
      </w:r>
      <w:r w:rsidRPr="00AA6692">
        <w:rPr>
          <w:highlight w:val="lightGray"/>
        </w:rPr>
        <w:t>a udržitelnosti</w:t>
      </w:r>
      <w:bookmarkStart w:id="38" w:name="_Hlk125274582"/>
      <w:r w:rsidRPr="00AA6692">
        <w:rPr>
          <w:rStyle w:val="Znakapoznpodarou"/>
          <w:highlight w:val="lightGray"/>
        </w:rPr>
        <w:footnoteReference w:id="42"/>
      </w:r>
      <w:bookmarkEnd w:id="38"/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bookmarkStart w:id="39" w:name="_Hlk125274607"/>
      <w:r>
        <w:rPr>
          <w:rStyle w:val="Znakapoznpodarou"/>
        </w:rPr>
        <w:footnoteReference w:id="43"/>
      </w:r>
      <w:bookmarkEnd w:id="39"/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B8048C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lastRenderedPageBreak/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44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45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40" w:name="_Hlk125274664"/>
      <w:r w:rsidRPr="00CA3189">
        <w:rPr>
          <w:rStyle w:val="Znakapoznpodarou"/>
          <w:rFonts w:asciiTheme="minorHAnsi" w:hAnsiTheme="minorHAnsi" w:cstheme="minorHAnsi"/>
        </w:rPr>
        <w:footnoteReference w:id="46"/>
      </w:r>
      <w:bookmarkEnd w:id="40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7"/>
    </w:p>
    <w:p w14:paraId="39DF34C5" w14:textId="69DF7DB5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>i po ukončení realizace/udržitelnosti 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41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47"/>
      </w:r>
      <w:bookmarkEnd w:id="41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19B7BF37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AA6692">
        <w:rPr>
          <w:b w:val="0"/>
          <w:highlight w:val="lightGray"/>
        </w:rPr>
        <w:t>, nejde-li o výsledky činnosti ve výzkumu, vývoji a inovacích (dále jen „VaVaI“),</w:t>
      </w:r>
      <w:bookmarkStart w:id="42" w:name="_Hlk125274728"/>
      <w:r w:rsidR="00540168" w:rsidRPr="00AA6692">
        <w:rPr>
          <w:rStyle w:val="Znakapoznpodarou"/>
          <w:b w:val="0"/>
          <w:highlight w:val="lightGray"/>
        </w:rPr>
        <w:footnoteReference w:id="48"/>
      </w:r>
      <w:bookmarkEnd w:id="42"/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>licencí Creative Commons 4.0 ve variantě BY nebo BY-SA.</w:t>
      </w:r>
      <w:bookmarkStart w:id="43" w:name="_Hlk125274747"/>
      <w:r w:rsidR="00FA1D90" w:rsidRPr="00AA6692">
        <w:rPr>
          <w:rStyle w:val="Znakapoznpodarou"/>
          <w:b w:val="0"/>
          <w:highlight w:val="lightGray"/>
        </w:rPr>
        <w:footnoteReference w:id="49"/>
      </w:r>
      <w:bookmarkEnd w:id="43"/>
      <w:r w:rsidRPr="00BF0EDD">
        <w:rPr>
          <w:b w:val="0"/>
        </w:rPr>
        <w:t xml:space="preserve">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  <w:r w:rsidR="0009018D" w:rsidRPr="00AA6692">
        <w:rPr>
          <w:b w:val="0"/>
          <w:highlight w:val="lightGray"/>
        </w:rPr>
        <w:t>V</w:t>
      </w:r>
      <w:r w:rsidR="003818E9" w:rsidRPr="00AA6692">
        <w:rPr>
          <w:b w:val="0"/>
          <w:highlight w:val="lightGray"/>
        </w:rPr>
        <w:t> </w:t>
      </w:r>
      <w:r w:rsidR="0009018D" w:rsidRPr="00AA6692">
        <w:rPr>
          <w:b w:val="0"/>
          <w:highlight w:val="lightGray"/>
        </w:rPr>
        <w:t>případě</w:t>
      </w:r>
      <w:r w:rsidR="003818E9" w:rsidRPr="00AA6692">
        <w:rPr>
          <w:b w:val="0"/>
          <w:highlight w:val="lightGray"/>
        </w:rPr>
        <w:t xml:space="preserve"> výsledků činnosti ve VaVaI</w:t>
      </w:r>
      <w:r w:rsidR="008B577A" w:rsidRPr="00AA6692">
        <w:rPr>
          <w:b w:val="0"/>
          <w:highlight w:val="lightGray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AA6692">
        <w:rPr>
          <w:b w:val="0"/>
          <w:highlight w:val="lightGray"/>
        </w:rPr>
        <w:t xml:space="preserve">je příjemce povinen při ochraně práv a využití </w:t>
      </w:r>
      <w:r w:rsidR="008B577A" w:rsidRPr="00AA6692">
        <w:rPr>
          <w:b w:val="0"/>
          <w:highlight w:val="lightGray"/>
        </w:rPr>
        <w:t>postupovat v souladu s platnou legislativou</w:t>
      </w:r>
      <w:bookmarkStart w:id="44" w:name="_Hlk125274805"/>
      <w:r w:rsidR="008B577A" w:rsidRPr="00DC1AD9">
        <w:rPr>
          <w:b w:val="0"/>
          <w:vertAlign w:val="superscript"/>
        </w:rPr>
        <w:footnoteReference w:id="50"/>
      </w:r>
      <w:bookmarkEnd w:id="44"/>
      <w:r w:rsidR="0009018D" w:rsidRPr="00AA6692">
        <w:rPr>
          <w:b w:val="0"/>
          <w:highlight w:val="lightGray"/>
        </w:rPr>
        <w:t>.</w:t>
      </w:r>
      <w:bookmarkStart w:id="45" w:name="_Hlk125274816"/>
      <w:r w:rsidR="0009018D" w:rsidRPr="00AA6692">
        <w:rPr>
          <w:rStyle w:val="Znakapoznpodarou"/>
          <w:b w:val="0"/>
          <w:highlight w:val="lightGray"/>
        </w:rPr>
        <w:footnoteReference w:id="51"/>
      </w:r>
      <w:bookmarkEnd w:id="45"/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BC760DB" w:rsidR="002F2814" w:rsidRPr="001B102B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 xml:space="preserve">, je příjemce povinen zajistit jeho funkčnost a </w:t>
      </w:r>
      <w:r>
        <w:rPr>
          <w:rFonts w:asciiTheme="minorHAnsi" w:hAnsiTheme="minorHAnsi"/>
          <w:b w:val="0"/>
        </w:rPr>
        <w:lastRenderedPageBreak/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DC1AD9">
        <w:rPr>
          <w:rFonts w:asciiTheme="minorHAnsi" w:hAnsiTheme="minorHAnsi"/>
          <w:b w:val="0"/>
          <w:highlight w:val="lightGray"/>
        </w:rPr>
        <w:t>,</w:t>
      </w:r>
      <w:r w:rsidR="00D938E3" w:rsidRPr="00DC1AD9">
        <w:rPr>
          <w:rFonts w:asciiTheme="minorHAnsi" w:hAnsiTheme="minorHAnsi"/>
          <w:b w:val="0"/>
          <w:highlight w:val="lightGray"/>
        </w:rPr>
        <w:t xml:space="preserve"> </w:t>
      </w:r>
      <w:r w:rsidR="00D938E3" w:rsidRPr="00AA6692">
        <w:rPr>
          <w:rFonts w:asciiTheme="minorHAnsi" w:hAnsiTheme="minorHAnsi"/>
          <w:b w:val="0"/>
          <w:highlight w:val="lightGray"/>
        </w:rPr>
        <w:t xml:space="preserve">nebo 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do schválení závěrečné zprávy o </w:t>
      </w:r>
      <w:r w:rsidR="00D938E3" w:rsidRPr="00AA6692">
        <w:rPr>
          <w:rFonts w:asciiTheme="minorHAnsi" w:hAnsiTheme="minorHAnsi"/>
          <w:b w:val="0"/>
          <w:highlight w:val="lightGray"/>
        </w:rPr>
        <w:t>udržitelnosti</w:t>
      </w:r>
      <w:r w:rsidR="00132684" w:rsidRPr="00AA6692">
        <w:rPr>
          <w:rFonts w:asciiTheme="minorHAnsi" w:hAnsiTheme="minorHAnsi"/>
          <w:b w:val="0"/>
          <w:highlight w:val="lightGray"/>
        </w:rPr>
        <w:t xml:space="preserve"> projektu</w:t>
      </w:r>
      <w:r w:rsidR="00C54CD9" w:rsidRPr="00AA6692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bookmarkStart w:id="46" w:name="_Hlk125274856"/>
      <w:r w:rsidR="00D938E3" w:rsidRPr="00AA6692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52"/>
      </w:r>
      <w:bookmarkEnd w:id="46"/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bookmarkStart w:id="47" w:name="_Hlk125274875"/>
      <w:r w:rsidR="000A0C4D" w:rsidRPr="00833CEF">
        <w:rPr>
          <w:rStyle w:val="Znakapoznpodarou"/>
          <w:b w:val="0"/>
          <w:bCs/>
        </w:rPr>
        <w:footnoteReference w:id="53"/>
      </w:r>
      <w:bookmarkEnd w:id="47"/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4F05E20E" w14:textId="73D6126A" w:rsidR="00495B2F" w:rsidRPr="00147E21" w:rsidRDefault="00495B2F" w:rsidP="00147E21">
      <w:pPr>
        <w:pStyle w:val="Odstavecseseznamem"/>
        <w:numPr>
          <w:ilvl w:val="1"/>
          <w:numId w:val="93"/>
        </w:numPr>
        <w:ind w:left="567" w:hanging="567"/>
        <w:rPr>
          <w:b/>
          <w:u w:val="single"/>
        </w:rPr>
      </w:pPr>
      <w:r w:rsidRPr="00147E21">
        <w:rPr>
          <w:b/>
          <w:u w:val="single"/>
        </w:rPr>
        <w:t>Varianta A</w:t>
      </w:r>
      <w:r w:rsidR="00F0206B" w:rsidRPr="00147E21">
        <w:rPr>
          <w:b/>
          <w:u w:val="single"/>
        </w:rPr>
        <w:t>1</w:t>
      </w:r>
      <w:r w:rsidRPr="00147E21">
        <w:rPr>
          <w:b/>
          <w:u w:val="single"/>
        </w:rPr>
        <w:t xml:space="preserve"> – podpora nezakládá veřejnou podporu – platí pro oblast</w:t>
      </w:r>
      <w:r w:rsidR="004E371E" w:rsidRPr="00147E21">
        <w:rPr>
          <w:b/>
          <w:u w:val="single"/>
        </w:rPr>
        <w:t xml:space="preserve"> </w:t>
      </w:r>
      <w:r w:rsidRPr="00147E21">
        <w:rPr>
          <w:b/>
          <w:u w:val="single"/>
        </w:rPr>
        <w:t>vzdělávání</w:t>
      </w:r>
      <w:r w:rsidR="00A61EB7" w:rsidRPr="00147E21">
        <w:rPr>
          <w:b/>
          <w:u w:val="single"/>
        </w:rPr>
        <w:t xml:space="preserve"> bez podpory infrastruktury a majetku</w:t>
      </w:r>
      <w:r w:rsidR="004701BF" w:rsidRPr="00AA6692">
        <w:rPr>
          <w:rStyle w:val="Znakapoznpodarou"/>
          <w:highlight w:val="lightGray"/>
        </w:rPr>
        <w:footnoteReference w:id="54"/>
      </w:r>
    </w:p>
    <w:p w14:paraId="62BEE10C" w14:textId="38EA7538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>Prostředky z dotace mohou být použity pro potřeby nehospodářské činnosti</w:t>
      </w:r>
      <w:r w:rsidR="00C00EC8" w:rsidRPr="003D71A3">
        <w:t xml:space="preserve"> </w:t>
      </w:r>
      <w:r w:rsidR="006D4D2D">
        <w:t>p</w:t>
      </w:r>
      <w:r w:rsidR="00C00EC8" w:rsidRPr="003D71A3">
        <w:t>říjemce</w:t>
      </w:r>
      <w:r w:rsidR="00F0206B" w:rsidRPr="003D71A3">
        <w:t xml:space="preserve">. </w:t>
      </w:r>
      <w:r w:rsidR="003546BC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FCC79C0" w14:textId="77777777" w:rsidR="00F0206B" w:rsidRPr="004302D0" w:rsidRDefault="00F0206B" w:rsidP="00F0206B">
      <w:pPr>
        <w:ind w:left="567"/>
        <w:rPr>
          <w:b/>
          <w:u w:val="single"/>
        </w:rPr>
      </w:pPr>
      <w:r w:rsidRPr="008C180B">
        <w:rPr>
          <w:b/>
          <w:u w:val="single"/>
        </w:rPr>
        <w:t>Varianta A2 – podpora nezakládá veřejnou podporu – platí pro oblast vzdělávání s podporou infrastruktury a majetku</w:t>
      </w:r>
      <w:r w:rsidRPr="00AA6692">
        <w:rPr>
          <w:rStyle w:val="Znakapoznpodarou"/>
          <w:highlight w:val="lightGray"/>
        </w:rPr>
        <w:footnoteReference w:id="55"/>
      </w:r>
    </w:p>
    <w:p w14:paraId="22D15F35" w14:textId="7BB40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59FC674" w:rsidR="003546BC" w:rsidRPr="00C00EC8" w:rsidRDefault="003546BC" w:rsidP="00CB6D1D">
      <w:pPr>
        <w:ind w:left="567"/>
      </w:pPr>
      <w:r w:rsidRPr="00C00EC8">
        <w:t xml:space="preserve">Prostředky z 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56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57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2B1D0573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48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58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48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říjemce, tak rovněž od jednotlivých partnerů s finančním příspěvkem, kterým byla poskytnuta podpora mimo režim </w:t>
      </w:r>
      <w:r w:rsidRPr="00AA6692">
        <w:rPr>
          <w:rFonts w:asciiTheme="minorHAnsi" w:hAnsiTheme="minorHAnsi" w:cstheme="majorHAnsi"/>
          <w:highlight w:val="lightGray"/>
          <w:lang w:eastAsia="cs-CZ"/>
        </w:rPr>
        <w:lastRenderedPageBreak/>
        <w:t xml:space="preserve">veřejné podpory na nehospodářské činnosti. 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59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0"/>
      </w:r>
    </w:p>
    <w:p w14:paraId="0F0A3536" w14:textId="3639AC44" w:rsidR="004E371E" w:rsidRPr="004302D0" w:rsidRDefault="00495B2F" w:rsidP="004E371E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4E371E">
        <w:rPr>
          <w:b/>
          <w:u w:val="single"/>
        </w:rPr>
        <w:t>B</w:t>
      </w:r>
      <w:r w:rsidR="004E371E" w:rsidRPr="008C180B">
        <w:rPr>
          <w:b/>
          <w:u w:val="single"/>
        </w:rPr>
        <w:t>1 – podpora nezakládá veřejnou podporu – platí pro oblast</w:t>
      </w:r>
      <w:r w:rsidR="004E371E">
        <w:rPr>
          <w:b/>
          <w:u w:val="single"/>
        </w:rPr>
        <w:t xml:space="preserve"> VaV</w:t>
      </w:r>
      <w:r w:rsidR="004A2FCF">
        <w:rPr>
          <w:b/>
          <w:u w:val="single"/>
        </w:rPr>
        <w:t>aI</w:t>
      </w:r>
      <w:r w:rsidR="004E371E">
        <w:rPr>
          <w:b/>
          <w:u w:val="single"/>
        </w:rPr>
        <w:t xml:space="preserve"> bez podpory infrastruktury a majetku</w:t>
      </w:r>
      <w:r w:rsidR="004E371E" w:rsidRPr="00AA6692">
        <w:rPr>
          <w:rStyle w:val="Znakapoznpodarou"/>
          <w:highlight w:val="lightGray"/>
        </w:rPr>
        <w:footnoteReference w:id="61"/>
      </w:r>
    </w:p>
    <w:p w14:paraId="6C277119" w14:textId="1366D1CA" w:rsidR="004E371E" w:rsidRDefault="004E371E" w:rsidP="004E371E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Pr="003D71A3">
        <w:t xml:space="preserve">Prostředky z dotace mohou být použity pro potřeby nehospodářské činnosti </w:t>
      </w:r>
      <w:r w:rsidR="006D4D2D">
        <w:t>p</w:t>
      </w:r>
      <w:r w:rsidRPr="003D71A3">
        <w:t xml:space="preserve">říjemce. </w:t>
      </w:r>
      <w:r>
        <w:rPr>
          <w:rFonts w:asciiTheme="minorHAnsi" w:hAnsiTheme="minorHAnsi"/>
        </w:rPr>
        <w:t xml:space="preserve">Příjemce je povinen postupovat v souladu s podmínkami uvedenými v kap. </w:t>
      </w:r>
      <w:r w:rsidRPr="00CB6D1D">
        <w:rPr>
          <w:rFonts w:asciiTheme="minorHAnsi" w:hAnsiTheme="minorHAnsi"/>
        </w:rPr>
        <w:t>7.6 Pp</w:t>
      </w:r>
      <w:r>
        <w:rPr>
          <w:rFonts w:asciiTheme="minorHAnsi" w:hAnsiTheme="minorHAnsi"/>
        </w:rPr>
        <w:t>ŽP</w:t>
      </w:r>
      <w:r w:rsidR="00396EA5">
        <w:rPr>
          <w:rFonts w:asciiTheme="minorHAnsi" w:hAnsiTheme="minorHAnsi"/>
        </w:rPr>
        <w:t>.</w:t>
      </w:r>
    </w:p>
    <w:p w14:paraId="4F05E210" w14:textId="7ED27D8C" w:rsidR="00495B2F" w:rsidRPr="0029724B" w:rsidRDefault="00495B2F" w:rsidP="00CB6D1D">
      <w:pPr>
        <w:ind w:left="567"/>
        <w:rPr>
          <w:b/>
        </w:rPr>
      </w:pPr>
      <w:r w:rsidRPr="000938D7">
        <w:rPr>
          <w:b/>
          <w:u w:val="single"/>
        </w:rPr>
        <w:t>Varianta B</w:t>
      </w:r>
      <w:r w:rsidR="004E371E">
        <w:rPr>
          <w:b/>
          <w:u w:val="single"/>
        </w:rPr>
        <w:t>2</w:t>
      </w:r>
      <w:r w:rsidRPr="000938D7">
        <w:rPr>
          <w:b/>
          <w:u w:val="single"/>
        </w:rPr>
        <w:t xml:space="preserve"> – podpora nezakládá veřejnou podporu – platí pro oblast podpory VaVaI</w:t>
      </w:r>
      <w:r w:rsidR="004E371E">
        <w:rPr>
          <w:b/>
          <w:u w:val="single"/>
        </w:rPr>
        <w:t xml:space="preserve"> s podporou infrastruktury a majetku</w:t>
      </w:r>
      <w:r w:rsidR="00B74847" w:rsidRPr="00AA6692">
        <w:rPr>
          <w:rStyle w:val="Znakapoznpodarou"/>
          <w:highlight w:val="lightGray"/>
        </w:rPr>
        <w:footnoteReference w:id="62"/>
      </w: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6070D4AA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63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AA6692">
        <w:rPr>
          <w:highlight w:val="lightGray"/>
        </w:rPr>
        <w:t>i po</w:t>
      </w:r>
      <w:r w:rsidR="00BF1A49" w:rsidRPr="00AA6692">
        <w:rPr>
          <w:highlight w:val="lightGray"/>
        </w:rPr>
        <w:t> </w:t>
      </w:r>
      <w:r w:rsidRPr="00AA6692">
        <w:rPr>
          <w:highlight w:val="lightGray"/>
        </w:rPr>
        <w:t>dobu jeho udržitelnosti</w:t>
      </w:r>
      <w:r w:rsidR="008A5B49" w:rsidRPr="00AA6692">
        <w:rPr>
          <w:rStyle w:val="Znakapoznpodarou"/>
          <w:highlight w:val="lightGray"/>
        </w:rPr>
        <w:footnoteReference w:id="64"/>
      </w:r>
      <w:r w:rsidRPr="00347CB3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8BBE594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AA6692">
        <w:rPr>
          <w:highlight w:val="lightGray"/>
        </w:rPr>
        <w:t>i udržitelnosti</w:t>
      </w:r>
      <w:r w:rsidR="00D15AD3" w:rsidRPr="00AA6692">
        <w:rPr>
          <w:highlight w:val="lightGray"/>
          <w:vertAlign w:val="superscript"/>
        </w:rPr>
        <w:footnoteReference w:id="65"/>
      </w:r>
      <w:r w:rsidR="00D15AD3" w:rsidRPr="00D15AD3">
        <w:t xml:space="preserve"> projektu.</w:t>
      </w:r>
    </w:p>
    <w:p w14:paraId="4F05E217" w14:textId="1A31AE0E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66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34E5A198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Pr="005034B0">
        <w:rPr>
          <w:rFonts w:asciiTheme="minorHAnsi" w:hAnsiTheme="minorHAnsi" w:cstheme="majorHAnsi"/>
          <w:lang w:eastAsia="cs-CZ"/>
        </w:rPr>
        <w:lastRenderedPageBreak/>
        <w:t xml:space="preserve">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7004E8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7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AA6692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 w:rsidRPr="00AA6692">
        <w:rPr>
          <w:rFonts w:asciiTheme="minorHAnsi" w:hAnsiTheme="minorHAnsi" w:cstheme="majorHAnsi"/>
          <w:highlight w:val="lightGray"/>
          <w:lang w:eastAsia="cs-CZ"/>
        </w:rPr>
        <w:t>1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>říjemce, tak rovněž od jednotlivých partnerů s finančním příspěvkem, kterým byla poskytnuta podpora mimo režim veřejné podpory na neh</w:t>
      </w:r>
      <w:r w:rsidR="0038410F" w:rsidRPr="00AA6692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AA6692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AA6692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="00EA6696"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68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68751451" w:rsidR="006F67F5" w:rsidRPr="00AA6692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bookmarkStart w:id="49" w:name="_Hlk125274955"/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9"/>
      </w:r>
      <w:bookmarkEnd w:id="49"/>
    </w:p>
    <w:p w14:paraId="4F05E21A" w14:textId="1BE68CDB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>Varianta C – podpora v režimu de minimis</w:t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70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1D" w14:textId="77777777" w:rsidR="00495B2F" w:rsidRPr="000938D7" w:rsidRDefault="00495B2F" w:rsidP="0015317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>Varianta D – podpora dle Nařízení Komise (EU) č.</w:t>
      </w:r>
      <w:r w:rsidR="0038410F" w:rsidRPr="000938D7">
        <w:rPr>
          <w:b/>
          <w:u w:val="single"/>
        </w:rPr>
        <w:t xml:space="preserve"> </w:t>
      </w:r>
      <w:r w:rsidRPr="000938D7">
        <w:rPr>
          <w:b/>
          <w:u w:val="single"/>
        </w:rPr>
        <w:t>651/2014</w:t>
      </w:r>
    </w:p>
    <w:p w14:paraId="4F05E21E" w14:textId="206CC5E8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je poskytována na činnosti vymezené </w:t>
      </w:r>
      <w:r w:rsidR="0052678F"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>
        <w:rPr>
          <w:rFonts w:cs="Arial"/>
        </w:rPr>
        <w:t xml:space="preserve"> (dále jen „GBER“)</w:t>
      </w:r>
      <w:r w:rsidR="00C14C6F">
        <w:rPr>
          <w:rFonts w:cs="Arial"/>
        </w:rPr>
        <w:t xml:space="preserve"> </w:t>
      </w:r>
      <w:r w:rsidRPr="00347CB3">
        <w:rPr>
          <w:rFonts w:cs="Arial"/>
        </w:rPr>
        <w:t>a tato podpora je vyňata z</w:t>
      </w:r>
      <w:r w:rsidR="0038410F"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 w:rsidR="00F47A8E">
        <w:rPr>
          <w:rFonts w:cs="Arial"/>
        </w:rPr>
        <w:t xml:space="preserve">. </w:t>
      </w:r>
      <w:r w:rsidR="00205D64" w:rsidRPr="00205D64">
        <w:rPr>
          <w:rFonts w:cs="Arial"/>
        </w:rPr>
        <w:t xml:space="preserve">Podpora je poskytována dle článku </w:t>
      </w:r>
      <w:r w:rsidR="00205D64" w:rsidRPr="00AA6692">
        <w:rPr>
          <w:highlight w:val="lightGray"/>
        </w:rPr>
        <w:t>[…]</w:t>
      </w:r>
      <w:r w:rsidR="00205D64" w:rsidRPr="00AA6692">
        <w:rPr>
          <w:rFonts w:cs="Arial"/>
          <w:highlight w:val="lightGray"/>
          <w:vertAlign w:val="superscript"/>
        </w:rPr>
        <w:footnoteReference w:id="71"/>
      </w:r>
      <w:r w:rsidR="00205D64" w:rsidRPr="00205D64">
        <w:rPr>
          <w:rFonts w:cs="Arial"/>
        </w:rPr>
        <w:t xml:space="preserve"> GBER. </w:t>
      </w:r>
    </w:p>
    <w:p w14:paraId="4F05E21F" w14:textId="09ECBF3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 w:rsidR="001C7D33"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="00205D64" w:rsidRPr="00AA6692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r w:rsidR="00205D64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2"/>
      </w:r>
      <w:r w:rsidR="00205D64">
        <w:rPr>
          <w:rFonts w:cs="Arial"/>
        </w:rPr>
        <w:t xml:space="preserve"> </w:t>
      </w:r>
      <w:r w:rsidRPr="00347CB3">
        <w:rPr>
          <w:rFonts w:cs="Arial"/>
        </w:rPr>
        <w:t>(a</w:t>
      </w:r>
      <w:r w:rsidR="0038410F"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72A9E33D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</w:t>
      </w:r>
      <w:r w:rsidR="0055401B" w:rsidRPr="00205D64">
        <w:rPr>
          <w:rFonts w:cs="Arial"/>
        </w:rPr>
        <w:t xml:space="preserve">dle článku </w:t>
      </w:r>
      <w:r w:rsidR="0055401B" w:rsidRPr="00AA6692">
        <w:rPr>
          <w:highlight w:val="lightGray"/>
        </w:rPr>
        <w:t>[…]</w:t>
      </w:r>
      <w:r w:rsidR="0055401B" w:rsidRPr="00AA6692">
        <w:rPr>
          <w:rFonts w:cs="Arial"/>
          <w:highlight w:val="lightGray"/>
          <w:vertAlign w:val="superscript"/>
        </w:rPr>
        <w:footnoteReference w:id="73"/>
      </w:r>
      <w:r w:rsidR="0055401B" w:rsidRPr="00205D64">
        <w:rPr>
          <w:rFonts w:cs="Arial"/>
        </w:rPr>
        <w:t xml:space="preserve"> 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915860">
        <w:rPr>
          <w:rFonts w:cs="Arial"/>
          <w:bCs/>
        </w:rPr>
        <w:t>dotaci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77777777" w:rsidR="00495B2F" w:rsidRDefault="006D4919" w:rsidP="00153178">
      <w:pPr>
        <w:ind w:left="567"/>
      </w:pPr>
      <w:r>
        <w:t>V</w:t>
      </w:r>
      <w:r w:rsidR="00495B2F">
        <w:t> případě podpory, která přesahuje 500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934DF6">
        <w:t>P</w:t>
      </w:r>
      <w:r w:rsidR="00C20006">
        <w:t>oskytovatelem</w:t>
      </w:r>
      <w:r w:rsidR="004F714A">
        <w:t xml:space="preserve"> dotace</w:t>
      </w:r>
      <w:r w:rsidR="00495B2F">
        <w:t xml:space="preserve"> 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r w:rsidR="00C20006" w:rsidRPr="005034B0">
        <w:t>Transparency Award Module</w:t>
      </w:r>
      <w:r w:rsidR="00C20006">
        <w:t xml:space="preserve"> (TAM)</w:t>
      </w:r>
      <w:r w:rsidR="00495B2F">
        <w:t>.</w:t>
      </w:r>
    </w:p>
    <w:p w14:paraId="4F05E222" w14:textId="77777777" w:rsidR="00495B2F" w:rsidRPr="000938D7" w:rsidRDefault="00495B2F" w:rsidP="00153178">
      <w:pPr>
        <w:ind w:left="567"/>
        <w:jc w:val="left"/>
        <w:rPr>
          <w:u w:val="single"/>
        </w:rPr>
      </w:pPr>
      <w:r w:rsidRPr="000938D7">
        <w:rPr>
          <w:b/>
          <w:u w:val="single"/>
        </w:rPr>
        <w:t>Varianta E – podpora dle Rozhodnutí Komise 2012/21/EU</w:t>
      </w:r>
    </w:p>
    <w:p w14:paraId="4F05E223" w14:textId="5A7014D7" w:rsidR="00261EA0" w:rsidRPr="00EF1D6A" w:rsidRDefault="00261EA0" w:rsidP="00153178">
      <w:pPr>
        <w:ind w:left="567"/>
      </w:pPr>
      <w:r w:rsidRPr="00EF1D6A">
        <w:t>Podpora je poskytována v souladu s Rozhodnutím Komise (EU) ze dne 20. prosince 2011</w:t>
      </w:r>
      <w:r>
        <w:t xml:space="preserve"> </w:t>
      </w:r>
      <w:r w:rsidRPr="00EF1D6A">
        <w:t>o</w:t>
      </w:r>
      <w:r>
        <w:t> </w:t>
      </w:r>
      <w:r w:rsidRPr="00EF1D6A">
        <w:t>použití čl.</w:t>
      </w:r>
      <w:r w:rsidR="00BA3CC6">
        <w:t> </w:t>
      </w:r>
      <w:r w:rsidRPr="00EF1D6A">
        <w:t>106 odst. 2 Smlouvy o fungování Evropské unie na státní podporu ve formě</w:t>
      </w:r>
      <w:r>
        <w:t xml:space="preserve"> </w:t>
      </w:r>
      <w:r w:rsidRPr="00EF1D6A">
        <w:t>vyrovnávací platby za</w:t>
      </w:r>
      <w:r w:rsidR="0050294E">
        <w:t> </w:t>
      </w:r>
      <w:r w:rsidRPr="00EF1D6A">
        <w:t>závazek veřejné služby udělené určitým podnikům pověřeným</w:t>
      </w:r>
      <w:r>
        <w:t xml:space="preserve"> </w:t>
      </w:r>
      <w:r w:rsidRPr="00EF1D6A">
        <w:t>poskytováním služeb obecného hospodářského zájmu</w:t>
      </w:r>
      <w:r>
        <w:t xml:space="preserve"> (</w:t>
      </w:r>
      <w:r w:rsidR="00D41634">
        <w:t xml:space="preserve">dále jen „Rozhodnutí č. </w:t>
      </w:r>
      <w:r>
        <w:t>2012/21/EU</w:t>
      </w:r>
      <w:r w:rsidR="0038410F">
        <w:t>“</w:t>
      </w:r>
      <w:r>
        <w:t>).</w:t>
      </w:r>
    </w:p>
    <w:p w14:paraId="4F05E224" w14:textId="38CD6023" w:rsidR="00495B2F" w:rsidRDefault="00495B2F" w:rsidP="00153178">
      <w:pPr>
        <w:ind w:left="567"/>
        <w:rPr>
          <w:rFonts w:eastAsia="Times New Roman"/>
        </w:rPr>
      </w:pPr>
      <w:r w:rsidRPr="00DA64DB">
        <w:rPr>
          <w:rFonts w:eastAsia="Times New Roman"/>
        </w:rPr>
        <w:lastRenderedPageBreak/>
        <w:t>Podpora</w:t>
      </w:r>
      <w:r>
        <w:rPr>
          <w:rFonts w:eastAsia="Times New Roman"/>
        </w:rPr>
        <w:t xml:space="preserve"> splňující</w:t>
      </w:r>
      <w:r w:rsidRPr="00DA64DB">
        <w:rPr>
          <w:rFonts w:eastAsia="Times New Roman"/>
        </w:rPr>
        <w:t xml:space="preserve"> podmínky Rozhodnutí č. 2012/21/EU </w:t>
      </w:r>
      <w:r>
        <w:rPr>
          <w:rFonts w:eastAsia="Times New Roman"/>
        </w:rPr>
        <w:t xml:space="preserve">je poskytována </w:t>
      </w:r>
      <w:r w:rsidRPr="00DA64DB">
        <w:rPr>
          <w:rFonts w:eastAsia="Times New Roman"/>
        </w:rPr>
        <w:t xml:space="preserve">ve formě vyrovnávací platby </w:t>
      </w:r>
      <w:r>
        <w:rPr>
          <w:rFonts w:eastAsia="Times New Roman"/>
        </w:rPr>
        <w:t>za</w:t>
      </w:r>
      <w:r w:rsidR="00417433">
        <w:rPr>
          <w:rFonts w:eastAsia="Times New Roman"/>
        </w:rPr>
        <w:t> </w:t>
      </w:r>
      <w:r>
        <w:rPr>
          <w:rFonts w:eastAsia="Times New Roman"/>
        </w:rPr>
        <w:t>závazek veřejné služby,</w:t>
      </w:r>
      <w:r w:rsidRPr="00DA64DB">
        <w:rPr>
          <w:rFonts w:eastAsia="Times New Roman"/>
        </w:rPr>
        <w:t xml:space="preserve"> je slučitelná s vnitřním trhem a platí pro ni výjimka z</w:t>
      </w:r>
      <w:r w:rsidR="00E179CC">
        <w:rPr>
          <w:rFonts w:eastAsia="Times New Roman"/>
        </w:rPr>
        <w:t> </w:t>
      </w:r>
      <w:r w:rsidRPr="00DA64DB">
        <w:rPr>
          <w:rFonts w:eastAsia="Times New Roman"/>
        </w:rPr>
        <w:t>povinnosti oznámení předem stanovená v čl. 108 odst. 3 Smlouvy o fungování EU</w:t>
      </w:r>
      <w:r>
        <w:rPr>
          <w:rFonts w:eastAsia="Times New Roman"/>
        </w:rPr>
        <w:t>.</w:t>
      </w:r>
    </w:p>
    <w:p w14:paraId="4F05E225" w14:textId="6E9947EE" w:rsidR="00A102FA" w:rsidRDefault="00495B2F" w:rsidP="00153178">
      <w:pPr>
        <w:ind w:left="567"/>
      </w:pPr>
      <w:r>
        <w:t>P</w:t>
      </w:r>
      <w:r w:rsidRPr="00DA64DB">
        <w:t xml:space="preserve">říjemce </w:t>
      </w:r>
      <w:r>
        <w:t xml:space="preserve">je povinen </w:t>
      </w:r>
      <w:r w:rsidRPr="00DA64DB">
        <w:t>po celou dobu realizace projektu realizovat činnosti, které spadají mezi činnosti vymezené Pověřením k výkonu služby</w:t>
      </w:r>
      <w:r>
        <w:t xml:space="preserve"> obecného hospodářského zájmu, které je </w:t>
      </w:r>
      <w:r w:rsidR="00640B8F" w:rsidRPr="004F739C">
        <w:t xml:space="preserve">uvedené </w:t>
      </w:r>
      <w:r w:rsidR="00640B8F" w:rsidRPr="000938D7">
        <w:t xml:space="preserve">v části </w:t>
      </w:r>
      <w:r w:rsidR="00100A8F" w:rsidRPr="00AA6692">
        <w:rPr>
          <w:highlight w:val="lightGray"/>
        </w:rPr>
        <w:t>[…]</w:t>
      </w:r>
      <w:r w:rsidR="00556A03" w:rsidRPr="00AA6692">
        <w:rPr>
          <w:rStyle w:val="Znakapoznpodarou"/>
          <w:highlight w:val="lightGray"/>
        </w:rPr>
        <w:footnoteReference w:id="74"/>
      </w:r>
      <w:r w:rsidR="00640B8F" w:rsidRPr="000938D7">
        <w:t xml:space="preserve"> </w:t>
      </w:r>
      <w:r w:rsidRPr="000938D7">
        <w:t xml:space="preserve">tohoto </w:t>
      </w:r>
      <w:r w:rsidR="00BD0820" w:rsidRPr="000938D7">
        <w:t>Rozhodnutí</w:t>
      </w:r>
      <w:r w:rsidRPr="000938D7">
        <w:t>.</w:t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50" w:name="_Ref456361567"/>
      <w:r w:rsidRPr="00347CB3">
        <w:t>Evaluace</w:t>
      </w:r>
      <w:bookmarkEnd w:id="50"/>
    </w:p>
    <w:p w14:paraId="4F05E227" w14:textId="58A03A9D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51" w:name="_Hlk125275043"/>
      <w:r w:rsidR="008F57AB" w:rsidRPr="00AA6692">
        <w:rPr>
          <w:rStyle w:val="Znakapoznpodarou"/>
          <w:highlight w:val="lightGray"/>
        </w:rPr>
        <w:footnoteReference w:id="75"/>
      </w:r>
      <w:bookmarkEnd w:id="51"/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</w:t>
      </w:r>
      <w:r w:rsidRPr="00AA6692">
        <w:rPr>
          <w:highlight w:val="lightGray"/>
        </w:rPr>
        <w:t xml:space="preserve">, </w:t>
      </w:r>
      <w:r w:rsidRPr="00AA6692">
        <w:rPr>
          <w:rFonts w:asciiTheme="minorHAnsi" w:hAnsiTheme="minorHAnsi" w:cstheme="majorHAnsi"/>
          <w:highlight w:val="lightGray"/>
          <w:lang w:eastAsia="cs-CZ"/>
        </w:rPr>
        <w:t>po dobu jeho udržitelnosti</w:t>
      </w:r>
      <w:bookmarkStart w:id="52" w:name="_Hlk125275054"/>
      <w:r w:rsidR="00F6711B"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76"/>
      </w:r>
      <w:bookmarkEnd w:id="52"/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53" w:name="_Ref456361678"/>
      <w:r>
        <w:t>Komunikace v MS20</w:t>
      </w:r>
      <w:r w:rsidR="00AC5322">
        <w:t>21</w:t>
      </w:r>
      <w:r>
        <w:t>+</w:t>
      </w:r>
      <w:bookmarkEnd w:id="53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1ACE874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54" w:name="_Hlk125275101"/>
      <w:r w:rsidR="00FE2EC4" w:rsidRPr="00AA6692">
        <w:rPr>
          <w:rStyle w:val="Znakapoznpodarou"/>
          <w:highlight w:val="lightGray"/>
        </w:rPr>
        <w:footnoteReference w:id="77"/>
      </w:r>
      <w:bookmarkEnd w:id="54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55" w:name="_Hlk125275113"/>
      <w:r w:rsidR="00FC1ECD" w:rsidRPr="00AA6692">
        <w:rPr>
          <w:rStyle w:val="Znakapoznpodarou"/>
          <w:highlight w:val="lightGray"/>
        </w:rPr>
        <w:footnoteReference w:id="78"/>
      </w:r>
      <w:bookmarkEnd w:id="55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lastRenderedPageBreak/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79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80"/>
      </w:r>
    </w:p>
    <w:p w14:paraId="357FE618" w14:textId="5E5733BF" w:rsidR="00594475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81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56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82"/>
      </w:r>
      <w:bookmarkEnd w:id="56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</w:t>
      </w:r>
      <w:r w:rsidR="0093028C" w:rsidRPr="00AA6692">
        <w:rPr>
          <w:highlight w:val="lightGray"/>
        </w:rPr>
        <w:lastRenderedPageBreak/>
        <w:t>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83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58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59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59"/>
      <w:r w:rsidR="00663155">
        <w:t xml:space="preserve">, </w:t>
      </w:r>
      <w:bookmarkEnd w:id="58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60" w:name="_Hlk103328195"/>
      <w:r w:rsidR="00160016" w:rsidRPr="00AA6692">
        <w:rPr>
          <w:rStyle w:val="Znakapoznpodarou"/>
          <w:spacing w:val="-4"/>
          <w:highlight w:val="lightGray"/>
        </w:rPr>
        <w:footnoteReference w:id="84"/>
      </w:r>
      <w:bookmarkEnd w:id="60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61" w:name="_Hlk124849267"/>
      <w:bookmarkStart w:id="62" w:name="_Hlk125038537"/>
      <w:r w:rsidR="00B53F1F" w:rsidRPr="00AA6692">
        <w:rPr>
          <w:rStyle w:val="Znakapoznpodarou"/>
          <w:highlight w:val="lightGray"/>
        </w:rPr>
        <w:footnoteReference w:id="85"/>
      </w:r>
      <w:bookmarkEnd w:id="61"/>
      <w:r w:rsidR="00C46115" w:rsidRPr="00DC1AD9">
        <w:rPr>
          <w:spacing w:val="-4"/>
          <w:highlight w:val="lightGray"/>
        </w:rPr>
        <w:t xml:space="preserve"> </w:t>
      </w:r>
      <w:bookmarkEnd w:id="62"/>
    </w:p>
    <w:p w14:paraId="33480A1B" w14:textId="78FC4F0B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63" w:name="_Hlk124849285"/>
      <w:r w:rsidR="00B53F1F" w:rsidRPr="00AA6692">
        <w:rPr>
          <w:rStyle w:val="Znakapoznpodarou"/>
          <w:highlight w:val="lightGray"/>
        </w:rPr>
        <w:footnoteReference w:id="86"/>
      </w:r>
      <w:bookmarkEnd w:id="63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64" w:name="_Hlk118995699"/>
      <w:r w:rsidR="003D5210" w:rsidRPr="00AA6692">
        <w:rPr>
          <w:rStyle w:val="Znakapoznpodarou"/>
          <w:highlight w:val="lightGray"/>
        </w:rPr>
        <w:footnoteReference w:id="87"/>
      </w:r>
      <w:bookmarkEnd w:id="64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lastRenderedPageBreak/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96F840F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FC17CB" w:rsidRPr="00AA6692">
        <w:rPr>
          <w:rStyle w:val="Znakapoznpodarou"/>
          <w:highlight w:val="lightGray"/>
        </w:rPr>
        <w:footnoteReference w:id="88"/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65" w:name="_Hlk94014998"/>
    </w:p>
    <w:bookmarkEnd w:id="65"/>
    <w:p w14:paraId="3E73423F" w14:textId="169C8B16" w:rsidR="00132281" w:rsidRPr="00B028CD" w:rsidRDefault="003228C6" w:rsidP="00710227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89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66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90"/>
      </w:r>
      <w:bookmarkEnd w:id="66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7C84FC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67" w:name="_Toc405814473"/>
      <w:r w:rsidR="0008595B" w:rsidRPr="001B102B">
        <w:rPr>
          <w:vertAlign w:val="superscript"/>
        </w:rPr>
        <w:footnoteReference w:id="91"/>
      </w:r>
      <w:bookmarkEnd w:id="6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92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68" w:name="_Toc405814474"/>
      <w:bookmarkEnd w:id="6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lastRenderedPageBreak/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63F69C71" w:rsidR="00A017FA" w:rsidRPr="00AA6692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fldChar w:fldCharType="begin"/>
      </w:r>
      <w:r w:rsidRPr="00AA6692">
        <w:rPr>
          <w:highlight w:val="lightGray"/>
        </w:rPr>
        <w:instrText xml:space="preserve"> REF _Ref211606163 \r \h  \* MERGEFORMAT </w:instrText>
      </w:r>
      <w:r w:rsidRPr="00AA6692">
        <w:rPr>
          <w:highlight w:val="lightGray"/>
        </w:rPr>
      </w:r>
      <w:r w:rsidRPr="00AA6692">
        <w:rPr>
          <w:highlight w:val="lightGray"/>
        </w:rPr>
        <w:fldChar w:fldCharType="separate"/>
      </w:r>
      <w:r w:rsidR="00251ED5" w:rsidRPr="00AA6692">
        <w:rPr>
          <w:highlight w:val="lightGray"/>
        </w:rPr>
        <w:t>1</w:t>
      </w:r>
      <w:r w:rsidRPr="00AA6692">
        <w:rPr>
          <w:highlight w:val="lightGray"/>
        </w:rPr>
        <w:fldChar w:fldCharType="end"/>
      </w:r>
      <w:r w:rsidRPr="00AA6692">
        <w:rPr>
          <w:highlight w:val="lightGray"/>
        </w:rPr>
        <w:t>9</w:t>
      </w:r>
      <w:r w:rsidR="00992444" w:rsidRPr="00AA6692">
        <w:rPr>
          <w:highlight w:val="lightGray"/>
        </w:rPr>
        <w:t>.3</w:t>
      </w:r>
      <w:r w:rsidRPr="00AA6692">
        <w:rPr>
          <w:highlight w:val="lightGray"/>
        </w:rPr>
        <w:t xml:space="preserve"> tohoto Rozhodnutí, je odvod za porušení rozpočtové kázně v souladu s ustanovením §</w:t>
      </w:r>
      <w:r w:rsidR="00AC1056" w:rsidRPr="00AA6692">
        <w:rPr>
          <w:highlight w:val="lightGray"/>
        </w:rPr>
        <w:t> </w:t>
      </w:r>
      <w:r w:rsidRPr="00AA6692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AA6692">
        <w:rPr>
          <w:rStyle w:val="Znakapoznpodarou"/>
          <w:highlight w:val="lightGray"/>
        </w:rPr>
        <w:footnoteReference w:id="93"/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69" w:name="_Hlk118996151"/>
      <w:r w:rsidR="00541903" w:rsidRPr="00AA6692">
        <w:rPr>
          <w:rStyle w:val="Znakapoznpodarou"/>
          <w:highlight w:val="lightGray"/>
        </w:rPr>
        <w:footnoteReference w:id="94"/>
      </w:r>
      <w:r w:rsidRPr="00C5535E">
        <w:t xml:space="preserve"> </w:t>
      </w:r>
      <w:bookmarkEnd w:id="69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95"/>
      </w:r>
      <w:r w:rsidRPr="00C5535E">
        <w:t>.</w:t>
      </w:r>
      <w:bookmarkStart w:id="70" w:name="_Hlk118996267"/>
      <w:r w:rsidR="00461B13" w:rsidRPr="00AA6692">
        <w:rPr>
          <w:rStyle w:val="Znakapoznpodarou"/>
          <w:highlight w:val="lightGray"/>
        </w:rPr>
        <w:footnoteReference w:id="96"/>
      </w:r>
      <w:bookmarkEnd w:id="70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97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lastRenderedPageBreak/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98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AE1" w14:textId="77777777" w:rsidR="00AD0CC9" w:rsidRDefault="00AD0CC9" w:rsidP="003365BA">
      <w:pPr>
        <w:spacing w:after="0"/>
      </w:pPr>
      <w:r>
        <w:separator/>
      </w:r>
    </w:p>
  </w:endnote>
  <w:endnote w:type="continuationSeparator" w:id="0">
    <w:p w14:paraId="0FAFA4B4" w14:textId="77777777" w:rsidR="00AD0CC9" w:rsidRDefault="00AD0CC9" w:rsidP="003365BA">
      <w:pPr>
        <w:spacing w:after="0"/>
      </w:pPr>
      <w:r>
        <w:continuationSeparator/>
      </w:r>
    </w:p>
  </w:endnote>
  <w:endnote w:type="continuationNotice" w:id="1">
    <w:p w14:paraId="35D34E0B" w14:textId="77777777" w:rsidR="00AD0CC9" w:rsidRDefault="00AD0C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4153" w14:textId="77777777" w:rsidR="00AD0CC9" w:rsidRDefault="00AD0CC9" w:rsidP="003365BA">
      <w:pPr>
        <w:spacing w:after="0"/>
      </w:pPr>
      <w:r>
        <w:separator/>
      </w:r>
    </w:p>
  </w:footnote>
  <w:footnote w:type="continuationSeparator" w:id="0">
    <w:p w14:paraId="429B8189" w14:textId="77777777" w:rsidR="00AD0CC9" w:rsidRDefault="00AD0CC9" w:rsidP="003365BA">
      <w:pPr>
        <w:spacing w:after="0"/>
      </w:pPr>
      <w:r>
        <w:continuationSeparator/>
      </w:r>
    </w:p>
  </w:footnote>
  <w:footnote w:type="continuationNotice" w:id="1">
    <w:p w14:paraId="41AF92FC" w14:textId="77777777" w:rsidR="00AD0CC9" w:rsidRDefault="00AD0CC9">
      <w:pPr>
        <w:spacing w:after="0"/>
      </w:pPr>
    </w:p>
  </w:footnote>
  <w:footnote w:id="2">
    <w:p w14:paraId="4F05E2E8" w14:textId="020DD82B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prostředky nejsou poskytovány podle zákona č. 130/2002 Sb.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0E03965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 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6FEC292F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05760466" w14:textId="1F8BCFF4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Zvolte EFRR</w:t>
      </w:r>
      <w:r w:rsidRPr="00AA6692">
        <w:rPr>
          <w:highlight w:val="lightGray"/>
        </w:rPr>
        <w:t xml:space="preserve">, je-li relevantní. </w:t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</w:t>
      </w:r>
      <w:r w:rsidR="00685D2E" w:rsidRPr="00AA6692">
        <w:rPr>
          <w:highlight w:val="lightGray"/>
        </w:rPr>
        <w:t>, podíl se neuvádí</w:t>
      </w:r>
      <w:r w:rsidR="001E76C4" w:rsidRPr="00AA6692">
        <w:rPr>
          <w:highlight w:val="lightGray"/>
        </w:rPr>
        <w:t>.</w:t>
      </w:r>
    </w:p>
  </w:footnote>
  <w:footnote w:id="8">
    <w:p w14:paraId="0E2200D9" w14:textId="1D5BCAB9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Zvolte ESF+, je-li relevantní. 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</w:t>
      </w:r>
      <w:r w:rsidR="00685D2E" w:rsidRPr="00AA6692">
        <w:rPr>
          <w:highlight w:val="lightGray"/>
        </w:rPr>
        <w:t>, podíl se neuvádí</w:t>
      </w:r>
      <w:r w:rsidRPr="00AA6692">
        <w:rPr>
          <w:highlight w:val="lightGray"/>
        </w:rPr>
        <w:t>.</w:t>
      </w:r>
    </w:p>
  </w:footnote>
  <w:footnote w:id="9">
    <w:p w14:paraId="43B8BA57" w14:textId="78CC3173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MS2021+, podíl se neuvádí.</w:t>
      </w:r>
    </w:p>
  </w:footnote>
  <w:footnote w:id="10">
    <w:p w14:paraId="4F05E2EE" w14:textId="4A7D81CE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B207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celý řádek, pokud prostředky nejsou poskytovány dle tohoto nařízení.</w:t>
      </w:r>
    </w:p>
  </w:footnote>
  <w:footnote w:id="11">
    <w:p w14:paraId="4F05E2EF" w14:textId="140ECD60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EB2071">
        <w:tab/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2">
    <w:p w14:paraId="53C26D38" w14:textId="2CE07342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6F3420">
        <w:t>Rozhodnutí Komise (EU)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t xml:space="preserve"> (</w:t>
      </w:r>
      <w:r w:rsidRPr="001E04E3">
        <w:rPr>
          <w:rFonts w:cstheme="minorHAnsi"/>
          <w:bCs/>
          <w:color w:val="000000"/>
          <w:shd w:val="clear" w:color="auto" w:fill="FFFFFF"/>
        </w:rPr>
        <w:t>2012/21/EU</w:t>
      </w:r>
      <w:r>
        <w:rPr>
          <w:rFonts w:cstheme="minorHAnsi"/>
          <w:bCs/>
          <w:color w:val="000000"/>
          <w:shd w:val="clear" w:color="auto" w:fill="FFFFFF"/>
        </w:rPr>
        <w:t>)</w:t>
      </w:r>
      <w:r>
        <w:t xml:space="preserve">. </w:t>
      </w:r>
      <w:r w:rsidRPr="00AA6692">
        <w:rPr>
          <w:highlight w:val="lightGray"/>
        </w:rPr>
        <w:t>Odstraňte celý řádek, pokud prostředky nejsou poskytovány dle tohoto nařízení.</w:t>
      </w:r>
    </w:p>
  </w:footnote>
  <w:footnote w:id="13">
    <w:p w14:paraId="4F05E2F1" w14:textId="3091EC68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AA6692">
        <w:rPr>
          <w:highlight w:val="lightGray"/>
        </w:rPr>
        <w:t xml:space="preserve"> </w:t>
      </w:r>
    </w:p>
  </w:footnote>
  <w:footnote w:id="14">
    <w:p w14:paraId="2E97F2C9" w14:textId="77777777" w:rsidR="0005487A" w:rsidRPr="00AA6692" w:rsidRDefault="0005487A" w:rsidP="0005487A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rFonts w:eastAsiaTheme="majorEastAsia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variantu: ex-ante, ex-post. </w:t>
      </w:r>
    </w:p>
  </w:footnote>
  <w:footnote w:id="15">
    <w:p w14:paraId="4F05E2F3" w14:textId="29978FE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sz w:val="18"/>
          <w:szCs w:val="18"/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6">
    <w:p w14:paraId="6A6B0A8C" w14:textId="7C044CA4" w:rsidR="008937FF" w:rsidRDefault="008937FF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Zvolte variantu a odstraňte nadpis.</w:t>
      </w:r>
    </w:p>
  </w:footnote>
  <w:footnote w:id="17">
    <w:p w14:paraId="2BA29BA8" w14:textId="053DDB85" w:rsidR="00B348B1" w:rsidRDefault="00B348B1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ten způsob vykazování výdajů, který není obsažen v základu pro výpočet paušálních nákladů.</w:t>
      </w:r>
    </w:p>
  </w:footnote>
  <w:footnote w:id="18">
    <w:p w14:paraId="26007E63" w14:textId="67767D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Zvolte </w:t>
      </w:r>
      <w:r w:rsidRPr="00AA6692">
        <w:rPr>
          <w:highlight w:val="lightGray"/>
        </w:rPr>
        <w:t>variantu A, nebo B (varianta A je pro výzvy bez udržitelnosti, varianta B je pro výzvy s udržitelností).</w:t>
      </w:r>
    </w:p>
  </w:footnote>
  <w:footnote w:id="19">
    <w:p w14:paraId="3F4448CE" w14:textId="0FDEDAC3" w:rsidR="00D127BD" w:rsidRPr="00AA6692" w:rsidRDefault="00D127BD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B06505" w:rsidRPr="00AA6692">
        <w:rPr>
          <w:highlight w:val="lightGray"/>
        </w:rPr>
        <w:t>O</w:t>
      </w:r>
      <w:r w:rsidRPr="00AA6692">
        <w:rPr>
          <w:highlight w:val="lightGray"/>
        </w:rPr>
        <w:t>dstra</w:t>
      </w:r>
      <w:r w:rsidR="009A0B9B" w:rsidRPr="00AA6692">
        <w:rPr>
          <w:highlight w:val="lightGray"/>
        </w:rPr>
        <w:t>ňte</w:t>
      </w:r>
      <w:r w:rsidRPr="00AA6692">
        <w:rPr>
          <w:highlight w:val="lightGray"/>
        </w:rPr>
        <w:t xml:space="preserve"> v případě ESF+ projektů s udržitelností a EFRR projektů s udržitelností bez investic do infrastruktury a produktivních investic.</w:t>
      </w:r>
    </w:p>
  </w:footnote>
  <w:footnote w:id="20">
    <w:p w14:paraId="310B3372" w14:textId="0E83ACCF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kratší dobou realizace než 30 měsíců 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2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2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2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24">
    <w:p w14:paraId="49710D81" w14:textId="3D8C7C20" w:rsidR="004F3303" w:rsidRDefault="004F3303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2476B8" w:rsidRPr="00AA6692">
        <w:rPr>
          <w:highlight w:val="lightGray"/>
        </w:rPr>
        <w:t>Celý</w:t>
      </w:r>
      <w:r w:rsidRPr="00AA6692">
        <w:rPr>
          <w:highlight w:val="lightGray"/>
        </w:rPr>
        <w:t xml:space="preserve"> bod odstraňte, pokud výzva neumož</w:t>
      </w:r>
      <w:r w:rsidR="002476B8" w:rsidRPr="00AA6692">
        <w:rPr>
          <w:highlight w:val="lightGray"/>
        </w:rPr>
        <w:t>ňuje investiční výdaje.</w:t>
      </w:r>
    </w:p>
  </w:footnote>
  <w:footnote w:id="25">
    <w:p w14:paraId="4F05E2FA" w14:textId="05BF81E6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udržitelnost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projektu není vyžadována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6">
    <w:p w14:paraId="4F05E2FB" w14:textId="1EE6F527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 EFRR projektů </w:t>
      </w:r>
      <w:r w:rsidR="008937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a u projektů ESF+ bez indikátoru 600 000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větu odstra</w:t>
      </w:r>
      <w:r w:rsidR="00945E00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7">
    <w:p w14:paraId="4F05E2FC" w14:textId="452B49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highlight w:val="lightGray"/>
        </w:rPr>
      </w:pPr>
      <w:r w:rsidRPr="00DC1AD9">
        <w:rPr>
          <w:rStyle w:val="Znakapoznpodarou"/>
        </w:rPr>
        <w:footnoteRef/>
      </w:r>
      <w:r w:rsidRPr="00DC1AD9">
        <w:t xml:space="preserve"> </w:t>
      </w:r>
      <w:r w:rsidR="00EB2071" w:rsidRPr="00DC1AD9">
        <w:tab/>
      </w:r>
      <w:r w:rsidRPr="00DC1AD9">
        <w:t xml:space="preserve">Nařízení Evropského parlamentu a Rady (EU) 2021/1057 ze dne 24. června 2021, kterým se zřizuje Evropský sociální fond plus (ESF+) a zrušuje nařízení (EU) č. 1296/2013. </w:t>
      </w:r>
    </w:p>
  </w:footnote>
  <w:footnote w:id="28">
    <w:p w14:paraId="09E3DA47" w14:textId="77777777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29">
    <w:p w14:paraId="4B81056B" w14:textId="2EE8A6DD" w:rsidR="00346116" w:rsidRDefault="00346116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Zvolte tuto variantu, pokud projekt má udržitelnost a </w:t>
      </w:r>
      <w:r w:rsidR="00B7262A" w:rsidRPr="00AA6692">
        <w:rPr>
          <w:highlight w:val="lightGray"/>
        </w:rPr>
        <w:t>dle kap. 7.8 SPpŽP</w:t>
      </w:r>
      <w:r w:rsidRPr="00AA6692">
        <w:rPr>
          <w:highlight w:val="lightGray"/>
        </w:rPr>
        <w:t xml:space="preserve"> </w:t>
      </w:r>
      <w:r w:rsidR="004F354C" w:rsidRPr="00AA6692">
        <w:rPr>
          <w:highlight w:val="lightGray"/>
        </w:rPr>
        <w:t xml:space="preserve">a ZPP </w:t>
      </w:r>
      <w:r w:rsidRPr="00AA6692">
        <w:rPr>
          <w:highlight w:val="lightGray"/>
        </w:rPr>
        <w:t>je umožněno některé indikátory vykázat v 1. ZoU.</w:t>
      </w:r>
    </w:p>
  </w:footnote>
  <w:footnote w:id="30">
    <w:p w14:paraId="6857CA3A" w14:textId="77777777" w:rsidR="00743791" w:rsidRDefault="00743791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31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32">
    <w:p w14:paraId="4780E7BC" w14:textId="069A5A6C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>Text odstraňte, není-li tato podmínka vyžadována v kap. 7.6 SPpŽP.</w:t>
      </w:r>
    </w:p>
  </w:footnote>
  <w:footnote w:id="33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34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35">
    <w:p w14:paraId="4F05E2FE" w14:textId="674E0C59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36">
    <w:p w14:paraId="4F05E2FF" w14:textId="42CF86B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szCs w:val="16"/>
          <w:highlight w:val="lightGray"/>
        </w:rPr>
        <w:footnoteRef/>
      </w:r>
      <w:r w:rsidRPr="00AA6692">
        <w:rPr>
          <w:szCs w:val="16"/>
          <w:highlight w:val="lightGray"/>
        </w:rPr>
        <w:t xml:space="preserve"> </w:t>
      </w:r>
      <w:r w:rsidR="003E4775" w:rsidRPr="00AA6692">
        <w:rPr>
          <w:szCs w:val="16"/>
          <w:highlight w:val="lightGray"/>
        </w:rPr>
        <w:tab/>
      </w:r>
      <w:r w:rsidR="00F70181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37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38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39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40">
    <w:p w14:paraId="7D078EE4" w14:textId="2E6FB0A9" w:rsidR="00656B23" w:rsidRPr="00AA6692" w:rsidRDefault="00656B23" w:rsidP="00DC1AD9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odstraňte, pokud udržitelnost projektu není vyžadována.</w:t>
      </w:r>
    </w:p>
  </w:footnote>
  <w:footnote w:id="41">
    <w:p w14:paraId="179F8E18" w14:textId="0DD9143F" w:rsidR="006B0308" w:rsidRPr="00AA6692" w:rsidRDefault="006B0308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</w:t>
      </w:r>
      <w:r w:rsidRPr="00AA6692">
        <w:rPr>
          <w:highlight w:val="lightGray"/>
        </w:rPr>
        <w:t>ext odstraňte, pokud udržitelnost projektu není vyžadována.</w:t>
      </w:r>
    </w:p>
  </w:footnote>
  <w:footnote w:id="42">
    <w:p w14:paraId="6C75AEE2" w14:textId="4AA42A1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9A0B9B" w:rsidRPr="00AA6692">
        <w:rPr>
          <w:rFonts w:eastAsiaTheme="minorHAns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eastAsiaTheme="minorHAns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</w:t>
      </w:r>
      <w:r w:rsidRPr="00DC1AD9">
        <w:rPr>
          <w:highlight w:val="lightGray"/>
        </w:rPr>
        <w:t>.</w:t>
      </w:r>
    </w:p>
  </w:footnote>
  <w:footnote w:id="43">
    <w:p w14:paraId="79C30FF4" w14:textId="173C1C0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44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45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46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47">
    <w:p w14:paraId="58A71DCF" w14:textId="4317FA25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minimis/SOHZ/GBER.</w:t>
      </w:r>
    </w:p>
  </w:footnote>
  <w:footnote w:id="48">
    <w:p w14:paraId="4B86DA68" w14:textId="160961ED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8E3005" w:rsidRPr="00AA6692">
        <w:rPr>
          <w:highlight w:val="lightGray"/>
        </w:rPr>
        <w:t xml:space="preserve">Relevantní pouze pro projekty </w:t>
      </w:r>
      <w:r w:rsidRPr="00AA6692">
        <w:rPr>
          <w:highlight w:val="lightGray"/>
        </w:rPr>
        <w:t xml:space="preserve">podle zákona č. </w:t>
      </w:r>
      <w:r w:rsidRPr="00AA6692" w:rsidDel="00880235">
        <w:rPr>
          <w:szCs w:val="16"/>
          <w:highlight w:val="lightGray"/>
        </w:rPr>
        <w:t>130/2002 Sb</w:t>
      </w:r>
      <w:r w:rsidR="00A13B48" w:rsidRPr="00AA6692">
        <w:rPr>
          <w:szCs w:val="16"/>
          <w:highlight w:val="lightGray"/>
        </w:rPr>
        <w:t>.</w:t>
      </w:r>
      <w:r w:rsidR="008E3005" w:rsidRPr="00AA6692">
        <w:rPr>
          <w:szCs w:val="16"/>
          <w:highlight w:val="lightGray"/>
        </w:rPr>
        <w:t>, u ostatních část věty odstraňte.</w:t>
      </w:r>
    </w:p>
  </w:footnote>
  <w:footnote w:id="49">
    <w:p w14:paraId="67045E94" w14:textId="77777777" w:rsidR="00FA1D90" w:rsidRPr="00AA6692" w:rsidRDefault="00FA1D9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 případě, že navazující dokumentace k výzvě umožňuje i jiný typ licence, doplňte ho do tohoto bodu.</w:t>
      </w:r>
    </w:p>
  </w:footnote>
  <w:footnote w:id="50">
    <w:p w14:paraId="3B435AEF" w14:textId="3F0FA2F3" w:rsidR="00B348B1" w:rsidRPr="00926295" w:rsidDel="00880235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3E4775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51">
    <w:p w14:paraId="57C702A5" w14:textId="55EB293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 xml:space="preserve">Relevantní pouze pro projekty podle zákona </w:t>
      </w:r>
      <w:r w:rsidR="008E3005" w:rsidRPr="00AA6692">
        <w:rPr>
          <w:highlight w:val="lightGray"/>
        </w:rPr>
        <w:t xml:space="preserve">č. </w:t>
      </w:r>
      <w:r w:rsidRPr="00AA6692">
        <w:rPr>
          <w:highlight w:val="lightGray"/>
        </w:rPr>
        <w:t>130/2002</w:t>
      </w:r>
      <w:r w:rsidR="00571B18" w:rsidRPr="00AA6692">
        <w:rPr>
          <w:highlight w:val="lightGray"/>
        </w:rPr>
        <w:t xml:space="preserve"> Sb.</w:t>
      </w:r>
      <w:r w:rsidRPr="00AA6692">
        <w:rPr>
          <w:highlight w:val="lightGray"/>
        </w:rPr>
        <w:t>, u ostatních</w:t>
      </w:r>
      <w:r w:rsidR="008E3005" w:rsidRPr="00AA6692">
        <w:rPr>
          <w:highlight w:val="lightGray"/>
        </w:rPr>
        <w:t xml:space="preserve"> větu</w:t>
      </w:r>
      <w:r w:rsidRPr="00AA6692">
        <w:rPr>
          <w:highlight w:val="lightGray"/>
        </w:rPr>
        <w:t xml:space="preserve"> odstraňte.</w:t>
      </w:r>
    </w:p>
  </w:footnote>
  <w:footnote w:id="52">
    <w:p w14:paraId="75D56D7D" w14:textId="3E39E9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</w:t>
      </w:r>
      <w:r w:rsidRPr="00AA6692">
        <w:rPr>
          <w:highlight w:val="lightGray"/>
        </w:rPr>
        <w:t xml:space="preserve"> text odstraňte, </w:t>
      </w:r>
      <w:r w:rsidR="009A0B9B" w:rsidRPr="00AA6692">
        <w:rPr>
          <w:highlight w:val="lightGray"/>
        </w:rPr>
        <w:t>pokud</w:t>
      </w:r>
      <w:r w:rsidRPr="00AA6692">
        <w:rPr>
          <w:highlight w:val="lightGray"/>
        </w:rPr>
        <w:t xml:space="preserve"> udržitelnost</w:t>
      </w:r>
      <w:r w:rsidR="009A0B9B" w:rsidRPr="00AA6692">
        <w:rPr>
          <w:highlight w:val="lightGray"/>
        </w:rPr>
        <w:t xml:space="preserve"> projektu není vyžadována</w:t>
      </w:r>
      <w:r w:rsidRPr="00AA6692">
        <w:rPr>
          <w:highlight w:val="lightGray"/>
        </w:rPr>
        <w:t>.</w:t>
      </w:r>
    </w:p>
  </w:footnote>
  <w:footnote w:id="53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54">
    <w:p w14:paraId="4F05E308" w14:textId="5B03EAFA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55">
    <w:p w14:paraId="0D629803" w14:textId="1651FCE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56">
    <w:p w14:paraId="6302CF9E" w14:textId="3A1D41EC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57">
    <w:p w14:paraId="2EB76816" w14:textId="611E8BFF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58">
    <w:p w14:paraId="0B9B9ED1" w14:textId="4EBE68D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AA6692">
        <w:rPr>
          <w:highlight w:val="lightGray"/>
        </w:rPr>
        <w:t xml:space="preserve"> </w:t>
      </w:r>
    </w:p>
  </w:footnote>
  <w:footnote w:id="59">
    <w:p w14:paraId="6C286B53" w14:textId="45FBB84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60">
    <w:p w14:paraId="3C6DC943" w14:textId="64D8F858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61">
    <w:p w14:paraId="14D59FA5" w14:textId="269CE2E8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62">
    <w:p w14:paraId="4F05E309" w14:textId="1A0AC7C3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highlight w:val="lightGray"/>
        </w:rPr>
        <w:t>Zvolte variantu a nadpis odstraňte.</w:t>
      </w:r>
    </w:p>
  </w:footnote>
  <w:footnote w:id="63">
    <w:p w14:paraId="02B2C4A7" w14:textId="3A1E6932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64">
    <w:p w14:paraId="639B629C" w14:textId="3BB66B52" w:rsidR="008A5B49" w:rsidRPr="00AA6692" w:rsidRDefault="008A5B49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</w:p>
  </w:footnote>
  <w:footnote w:id="65">
    <w:p w14:paraId="4F05E30B" w14:textId="123BD177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9A0B9B" w:rsidRPr="00AA6692">
        <w:rPr>
          <w:highlight w:val="lightGray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 </w:t>
      </w:r>
    </w:p>
  </w:footnote>
  <w:footnote w:id="66">
    <w:p w14:paraId="4F05E30C" w14:textId="2B8E7F92" w:rsidR="00B348B1" w:rsidRPr="003509F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90335C">
        <w:tab/>
      </w:r>
      <w:r w:rsidRPr="00F95158">
        <w:t>Vedlejší hospodářské využití – bude se jednat o takovou činnost, která přímo souvisí s provozem výzkumné organizace</w:t>
      </w:r>
      <w:r w:rsidR="00046778">
        <w:t xml:space="preserve"> </w:t>
      </w:r>
      <w:r w:rsidRPr="00F95158">
        <w:t>/</w:t>
      </w:r>
      <w:r w:rsidR="00046778">
        <w:t xml:space="preserve"> </w:t>
      </w:r>
      <w:r w:rsidRPr="00F95158">
        <w:t>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67">
    <w:p w14:paraId="4F05E30D" w14:textId="1BDF84C5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Označený text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udržitelnost projektu není vyžadována.</w:t>
      </w:r>
      <w:r w:rsidRPr="00AA6692">
        <w:rPr>
          <w:highlight w:val="lightGray"/>
        </w:rPr>
        <w:t xml:space="preserve"> </w:t>
      </w:r>
    </w:p>
  </w:footnote>
  <w:footnote w:id="68">
    <w:p w14:paraId="7D516A21" w14:textId="13FD61C5" w:rsidR="00B348B1" w:rsidRDefault="00B348B1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69">
    <w:p w14:paraId="566974D7" w14:textId="7A9C75F7" w:rsidR="00B348B1" w:rsidRDefault="00B348B1" w:rsidP="00DC1AD9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highlight w:val="lightGray"/>
        </w:rPr>
        <w:t>Větu</w:t>
      </w:r>
      <w:r w:rsidR="009A0B9B" w:rsidRPr="00DC1AD9">
        <w:rPr>
          <w:highlight w:val="lightGray"/>
        </w:rPr>
        <w:t xml:space="preserve"> </w:t>
      </w:r>
      <w:r w:rsidRPr="00DC1AD9">
        <w:rPr>
          <w:highlight w:val="lightGray"/>
        </w:rPr>
        <w:t>odstraňte, pokud projekt nemá partnera.</w:t>
      </w:r>
    </w:p>
  </w:footnote>
  <w:footnote w:id="70">
    <w:p w14:paraId="4F05E30F" w14:textId="32764A9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0335C">
        <w:tab/>
      </w:r>
      <w:r w:rsidRPr="00CA68A2">
        <w:t>Úřední věstník EU, L 187, 26. 6. 2014, str. 1–84</w:t>
      </w:r>
      <w:r>
        <w:t>.</w:t>
      </w:r>
    </w:p>
  </w:footnote>
  <w:footnote w:id="71">
    <w:p w14:paraId="4F05E310" w14:textId="0A1D66DE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A64822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72">
    <w:p w14:paraId="4F05E311" w14:textId="08455E7D" w:rsidR="00B348B1" w:rsidRPr="00AA6692" w:rsidRDefault="00B348B1" w:rsidP="00DC1AD9">
      <w:pPr>
        <w:pStyle w:val="Textpoznpodarou"/>
        <w:tabs>
          <w:tab w:val="left" w:pos="142"/>
        </w:tabs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 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73">
    <w:p w14:paraId="5199F71B" w14:textId="5D089CED" w:rsidR="0055401B" w:rsidRPr="00AA6692" w:rsidRDefault="0055401B" w:rsidP="00DC1AD9">
      <w:pPr>
        <w:pStyle w:val="Textpoznpodarou"/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90335C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v souladu s </w:t>
      </w:r>
      <w:r w:rsidR="00A64822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ýzvou. </w:t>
      </w:r>
    </w:p>
  </w:footnote>
  <w:footnote w:id="74">
    <w:p w14:paraId="1922E291" w14:textId="5BC0E944" w:rsidR="00556A03" w:rsidRPr="00AA6692" w:rsidRDefault="00556A03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5535E3" w:rsidRPr="00AA6692">
        <w:rPr>
          <w:highlight w:val="lightGray"/>
        </w:rPr>
        <w:t>Doplňte číslo části Rozhodnutí (římskou číslicí) podle toho, kterou částí se stane Pověření k výkonu SOHZ.</w:t>
      </w:r>
    </w:p>
  </w:footnote>
  <w:footnote w:id="75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76">
    <w:p w14:paraId="15F57D5E" w14:textId="08B3D605" w:rsidR="00F6711B" w:rsidRDefault="00F6711B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FB225C" w:rsidRPr="00AA6692">
        <w:rPr>
          <w:highlight w:val="lightGray"/>
        </w:rPr>
        <w:t>Označený text odstraňte</w:t>
      </w:r>
      <w:r w:rsidRPr="00AA6692">
        <w:rPr>
          <w:highlight w:val="lightGray"/>
        </w:rPr>
        <w:t xml:space="preserve">, pokud udržitelnost projektu </w:t>
      </w:r>
      <w:r w:rsidR="00FB225C" w:rsidRPr="00AA6692">
        <w:rPr>
          <w:highlight w:val="lightGray"/>
        </w:rPr>
        <w:t xml:space="preserve">není </w:t>
      </w:r>
      <w:r w:rsidRPr="00AA6692">
        <w:rPr>
          <w:highlight w:val="lightGray"/>
        </w:rPr>
        <w:t>vyžadována</w:t>
      </w:r>
      <w:r w:rsidRPr="00DC1AD9">
        <w:rPr>
          <w:highlight w:val="lightGray"/>
        </w:rPr>
        <w:t>.</w:t>
      </w:r>
    </w:p>
  </w:footnote>
  <w:footnote w:id="77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78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79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80">
    <w:p w14:paraId="5A2BE470" w14:textId="3991D22E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Celý bod odstraňte, pokud příjemce není obchodní společností (s.r.o., v.o.s., a.s., k.s., e.s., e.h.z.s.)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 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81">
    <w:p w14:paraId="23B16E36" w14:textId="2C4BDB60" w:rsidR="00594475" w:rsidRDefault="00594475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A116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82">
    <w:p w14:paraId="5DF671DF" w14:textId="205D2B1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57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„23.1“, pokud se z bodu 24 stal bod 23 (vypuštěním původního bodu 23).</w:t>
      </w:r>
      <w:bookmarkEnd w:id="57"/>
    </w:p>
  </w:footnote>
  <w:footnote w:id="83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84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85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86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87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88">
    <w:p w14:paraId="4F05E31D" w14:textId="726F74AD" w:rsidR="00B348B1" w:rsidRPr="00AA6692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6C02B6" w:rsidRPr="00AA6692">
        <w:rPr>
          <w:highlight w:val="lightGray"/>
        </w:rPr>
        <w:tab/>
      </w:r>
      <w:r w:rsidR="008937FF" w:rsidRPr="00AA6692">
        <w:rPr>
          <w:highlight w:val="lightGray"/>
        </w:rPr>
        <w:t>Při přípravě výzvy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je možné upravit výčet indikátorů, který se nezahrnuje do výpočtu.</w:t>
      </w:r>
    </w:p>
  </w:footnote>
  <w:footnote w:id="89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90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91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92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93">
    <w:p w14:paraId="60F966CC" w14:textId="3589EDDC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B03E8" w:rsidRPr="00AA6692">
        <w:rPr>
          <w:highlight w:val="lightGray"/>
        </w:rPr>
        <w:tab/>
      </w:r>
      <w:r w:rsidRPr="00AA6692">
        <w:rPr>
          <w:highlight w:val="lightGray"/>
        </w:rPr>
        <w:t>Relevantní pouze, pokud v části II, bodě 19.3 byla zvolena varianta A2 nebo B2, jinak celé ustanovení odstraňte.</w:t>
      </w:r>
    </w:p>
  </w:footnote>
  <w:footnote w:id="94">
    <w:p w14:paraId="07049D88" w14:textId="0071200B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481053" w:rsidRPr="00AA6692">
        <w:rPr>
          <w:highlight w:val="lightGray"/>
        </w:rPr>
        <w:tab/>
      </w:r>
      <w:r w:rsidRPr="00AA6692">
        <w:rPr>
          <w:highlight w:val="lightGray"/>
        </w:rPr>
        <w:t>Přepište text „24.2“ na „23.2“, pokud byl v části II bod 23 nahrazen bodem 24.</w:t>
      </w:r>
    </w:p>
  </w:footnote>
  <w:footnote w:id="95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96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97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98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5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2"/>
  </w:num>
  <w:num w:numId="2" w16cid:durableId="1151094566">
    <w:abstractNumId w:val="46"/>
  </w:num>
  <w:num w:numId="3" w16cid:durableId="261452904">
    <w:abstractNumId w:val="46"/>
  </w:num>
  <w:num w:numId="4" w16cid:durableId="708795492">
    <w:abstractNumId w:val="39"/>
  </w:num>
  <w:num w:numId="5" w16cid:durableId="1070351032">
    <w:abstractNumId w:val="46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6"/>
  </w:num>
  <w:num w:numId="10" w16cid:durableId="1435901774">
    <w:abstractNumId w:val="28"/>
  </w:num>
  <w:num w:numId="11" w16cid:durableId="775179741">
    <w:abstractNumId w:val="78"/>
  </w:num>
  <w:num w:numId="12" w16cid:durableId="1284850428">
    <w:abstractNumId w:val="52"/>
  </w:num>
  <w:num w:numId="13" w16cid:durableId="30347103">
    <w:abstractNumId w:val="51"/>
  </w:num>
  <w:num w:numId="14" w16cid:durableId="1546067896">
    <w:abstractNumId w:val="35"/>
  </w:num>
  <w:num w:numId="15" w16cid:durableId="1184632603">
    <w:abstractNumId w:val="65"/>
  </w:num>
  <w:num w:numId="16" w16cid:durableId="1372729404">
    <w:abstractNumId w:val="38"/>
  </w:num>
  <w:num w:numId="17" w16cid:durableId="1976640693">
    <w:abstractNumId w:val="70"/>
  </w:num>
  <w:num w:numId="18" w16cid:durableId="14241096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4"/>
  </w:num>
  <w:num w:numId="25" w16cid:durableId="1338581790">
    <w:abstractNumId w:val="18"/>
  </w:num>
  <w:num w:numId="26" w16cid:durableId="302587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6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2"/>
  </w:num>
  <w:num w:numId="33" w16cid:durableId="830486301">
    <w:abstractNumId w:val="57"/>
  </w:num>
  <w:num w:numId="34" w16cid:durableId="690649398">
    <w:abstractNumId w:val="64"/>
  </w:num>
  <w:num w:numId="35" w16cid:durableId="111680200">
    <w:abstractNumId w:val="17"/>
  </w:num>
  <w:num w:numId="36" w16cid:durableId="259027590">
    <w:abstractNumId w:val="45"/>
  </w:num>
  <w:num w:numId="37" w16cid:durableId="1466972327">
    <w:abstractNumId w:val="46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3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6"/>
  </w:num>
  <w:num w:numId="45" w16cid:durableId="1424570172">
    <w:abstractNumId w:val="14"/>
  </w:num>
  <w:num w:numId="46" w16cid:durableId="1698702623">
    <w:abstractNumId w:val="68"/>
  </w:num>
  <w:num w:numId="47" w16cid:durableId="1670282421">
    <w:abstractNumId w:val="61"/>
  </w:num>
  <w:num w:numId="48" w16cid:durableId="689844475">
    <w:abstractNumId w:val="71"/>
  </w:num>
  <w:num w:numId="49" w16cid:durableId="804156987">
    <w:abstractNumId w:val="56"/>
  </w:num>
  <w:num w:numId="50" w16cid:durableId="1435633263">
    <w:abstractNumId w:val="29"/>
  </w:num>
  <w:num w:numId="51" w16cid:durableId="1956060877">
    <w:abstractNumId w:val="67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6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6"/>
  </w:num>
  <w:num w:numId="57" w16cid:durableId="541211707">
    <w:abstractNumId w:val="74"/>
  </w:num>
  <w:num w:numId="58" w16cid:durableId="80109024">
    <w:abstractNumId w:val="46"/>
  </w:num>
  <w:num w:numId="59" w16cid:durableId="295599964">
    <w:abstractNumId w:val="40"/>
  </w:num>
  <w:num w:numId="60" w16cid:durableId="1749303949">
    <w:abstractNumId w:val="59"/>
  </w:num>
  <w:num w:numId="61" w16cid:durableId="309360097">
    <w:abstractNumId w:val="7"/>
  </w:num>
  <w:num w:numId="62" w16cid:durableId="938562828">
    <w:abstractNumId w:val="60"/>
  </w:num>
  <w:num w:numId="63" w16cid:durableId="355467525">
    <w:abstractNumId w:val="47"/>
  </w:num>
  <w:num w:numId="64" w16cid:durableId="1500347034">
    <w:abstractNumId w:val="42"/>
  </w:num>
  <w:num w:numId="65" w16cid:durableId="757410255">
    <w:abstractNumId w:val="27"/>
  </w:num>
  <w:num w:numId="66" w16cid:durableId="14429939">
    <w:abstractNumId w:val="44"/>
  </w:num>
  <w:num w:numId="67" w16cid:durableId="1471702814">
    <w:abstractNumId w:val="22"/>
  </w:num>
  <w:num w:numId="68" w16cid:durableId="1931621095">
    <w:abstractNumId w:val="75"/>
  </w:num>
  <w:num w:numId="69" w16cid:durableId="869420292">
    <w:abstractNumId w:val="48"/>
  </w:num>
  <w:num w:numId="70" w16cid:durableId="71435776">
    <w:abstractNumId w:val="43"/>
  </w:num>
  <w:num w:numId="71" w16cid:durableId="249049034">
    <w:abstractNumId w:val="15"/>
  </w:num>
  <w:num w:numId="72" w16cid:durableId="461196014">
    <w:abstractNumId w:val="41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58"/>
  </w:num>
  <w:num w:numId="79" w16cid:durableId="1846284508">
    <w:abstractNumId w:val="5"/>
  </w:num>
  <w:num w:numId="80" w16cid:durableId="923032838">
    <w:abstractNumId w:val="79"/>
  </w:num>
  <w:num w:numId="81" w16cid:durableId="480272103">
    <w:abstractNumId w:val="11"/>
  </w:num>
  <w:num w:numId="82" w16cid:durableId="358891413">
    <w:abstractNumId w:val="69"/>
  </w:num>
  <w:num w:numId="83" w16cid:durableId="2045788031">
    <w:abstractNumId w:val="23"/>
  </w:num>
  <w:num w:numId="84" w16cid:durableId="690381739">
    <w:abstractNumId w:val="63"/>
  </w:num>
  <w:num w:numId="85" w16cid:durableId="599993559">
    <w:abstractNumId w:val="73"/>
  </w:num>
  <w:num w:numId="86" w16cid:durableId="1391728836">
    <w:abstractNumId w:val="49"/>
  </w:num>
  <w:num w:numId="87" w16cid:durableId="1037512618">
    <w:abstractNumId w:val="50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5"/>
  </w:num>
  <w:num w:numId="94" w16cid:durableId="1871648355">
    <w:abstractNumId w:val="77"/>
  </w:num>
  <w:num w:numId="95" w16cid:durableId="1019166453">
    <w:abstractNumId w:val="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15OPMSMT0001-28-324199</_dlc_DocId>
    <_dlc_DocIdUrl xmlns="0104a4cd-1400-468e-be1b-c7aad71d7d5a">
      <Url>https://op.msmt.cz/_layouts/15/DocIdRedir.aspx?ID=15OPMSMT0001-28-324199</Url>
      <Description>15OPMSMT0001-28-324199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6327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ČISTÁ verze na web</dc:description>
  <cp:lastModifiedBy>Zieglerová Alena</cp:lastModifiedBy>
  <cp:revision>4</cp:revision>
  <cp:lastPrinted>2018-09-07T10:50:00Z</cp:lastPrinted>
  <dcterms:created xsi:type="dcterms:W3CDTF">2023-01-24T07:58:00Z</dcterms:created>
  <dcterms:modified xsi:type="dcterms:W3CDTF">2023-01-24T08:12:00Z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781eddf6-f1a3-4d42-b929-dd2cf4c3bf18</vt:lpwstr>
  </property>
  <property fmtid="{D5CDD505-2E9C-101B-9397-08002B2CF9AE}" pid="4" name="Komentář">
    <vt:lpwstr>Zveřejněno na webu 28/11/2017</vt:lpwstr>
  </property>
</Properties>
</file>