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6D071E8F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3724A8">
        <w:t>02_22_002</w:t>
      </w:r>
      <w:r w:rsidR="00797732">
        <w:t xml:space="preserve"> s názvem </w:t>
      </w:r>
      <w:r w:rsidR="00B95234">
        <w:t>Šablony pro MŠ a ZŠ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B95234">
        <w:t>2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B95234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B95234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B952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6D9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194F15A8" w14:textId="7D7937E5" w:rsidR="008D492A" w:rsidRPr="0049306D" w:rsidRDefault="00C111F6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4"/>
      </w:r>
      <w:r w:rsidR="00732495">
        <w:rPr>
          <w:highlight w:val="lightGray"/>
        </w:rPr>
        <w:t>,</w:t>
      </w:r>
    </w:p>
    <w:p w14:paraId="3E644C1D" w14:textId="2E4A3E76" w:rsidR="00C111F6" w:rsidRPr="00D20962" w:rsidRDefault="0049306D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zajišťování</w:t>
      </w:r>
      <w:r w:rsidR="00C111F6">
        <w:rPr>
          <w:highlight w:val="lightGray"/>
        </w:rPr>
        <w:t xml:space="preserve"> rovného přístupu ke kvalitnímu a inkluzivnímu vzdělávání</w:t>
      </w:r>
      <w:r>
        <w:rPr>
          <w:highlight w:val="lightGray"/>
        </w:rPr>
        <w:t>, včetně usnadňování vzdělávací mobility znevýhodněný</w:t>
      </w:r>
      <w:r w:rsidR="00590DAC">
        <w:rPr>
          <w:highlight w:val="lightGray"/>
        </w:rPr>
        <w:t xml:space="preserve">ch </w:t>
      </w:r>
      <w:r>
        <w:rPr>
          <w:highlight w:val="lightGray"/>
        </w:rPr>
        <w:t>skupin</w:t>
      </w:r>
      <w:r>
        <w:rPr>
          <w:rStyle w:val="Znakapoznpodarou"/>
          <w:highlight w:val="lightGray"/>
        </w:rPr>
        <w:footnoteReference w:id="5"/>
      </w:r>
    </w:p>
    <w:p w14:paraId="51E421B6" w14:textId="27B5CE62" w:rsidR="001C0B54" w:rsidRDefault="001C0B54" w:rsidP="00B2337E">
      <w:pPr>
        <w:contextualSpacing/>
      </w:pPr>
      <w:r>
        <w:t xml:space="preserve">(dále jen „účel dotace“). </w:t>
      </w:r>
    </w:p>
    <w:p w14:paraId="04BB46F1" w14:textId="1F9D4E04" w:rsidR="00C111F6" w:rsidRPr="0049306D" w:rsidRDefault="00C111F6" w:rsidP="00B2337E">
      <w:pPr>
        <w:contextualSpacing/>
        <w:rPr>
          <w:sz w:val="16"/>
          <w:szCs w:val="16"/>
        </w:rPr>
      </w:pPr>
    </w:p>
    <w:p w14:paraId="100EEE81" w14:textId="4F2CD224" w:rsidR="00C111F6" w:rsidRPr="0049306D" w:rsidRDefault="00C111F6" w:rsidP="00C111F6">
      <w:pPr>
        <w:tabs>
          <w:tab w:val="left" w:pos="305"/>
        </w:tabs>
        <w:spacing w:after="0" w:line="259" w:lineRule="auto"/>
        <w:ind w:left="317" w:hanging="317"/>
        <w:jc w:val="left"/>
        <w:rPr>
          <w:rFonts w:cs="Arial"/>
          <w:sz w:val="16"/>
          <w:szCs w:val="16"/>
        </w:rPr>
      </w:pPr>
    </w:p>
    <w:p w14:paraId="70C6A759" w14:textId="77777777" w:rsidR="00C111F6" w:rsidRDefault="00C111F6" w:rsidP="00B2337E">
      <w:pPr>
        <w:contextualSpacing/>
      </w:pP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244AD70D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7DFE5793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2172ACCC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99173F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392F4EAA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CF3678" w:rsidRPr="0074535A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0AE5E0F7" w14:textId="475BD478" w:rsidR="00F335E5" w:rsidRDefault="005E4F44" w:rsidP="00F55FE9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CF3678" w:rsidRPr="00B44EC0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321C834D" w:rsidR="005E4F44" w:rsidRPr="00347CB3" w:rsidRDefault="005E4F44" w:rsidP="00F55FE9">
            <w:pPr>
              <w:pStyle w:val="Tabulkatext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77777777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59F4CB7A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5844FE2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2340AA93" w:rsidR="005E4F44" w:rsidRPr="00347CB3" w:rsidRDefault="00C83C1A" w:rsidP="00BB3DBA">
            <w:pPr>
              <w:pStyle w:val="Tabulkatext"/>
              <w:spacing w:after="0"/>
              <w:jc w:val="center"/>
            </w:pPr>
            <w:r>
              <w:t>[…]</w:t>
            </w:r>
          </w:p>
        </w:tc>
      </w:tr>
    </w:tbl>
    <w:p w14:paraId="4F05E1A5" w14:textId="58D56921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A46AA7">
        <w:rPr>
          <w:b w:val="0"/>
        </w:rPr>
        <w:t xml:space="preserve"> ex-ante</w:t>
      </w:r>
      <w:r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69B8E65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510C53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8C5993">
        <w:rPr>
          <w:b w:val="0"/>
          <w:vertAlign w:val="superscript"/>
        </w:rPr>
        <w:footnoteReference w:id="9"/>
      </w:r>
      <w:r w:rsidRPr="00337F86">
        <w:rPr>
          <w:b w:val="0"/>
        </w:rPr>
        <w:t xml:space="preserve">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bookmarkEnd w:id="1"/>
    <w:p w14:paraId="161D9370" w14:textId="32E638D1" w:rsidR="008D35FA" w:rsidRDefault="004B0911" w:rsidP="0074535A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CC78E4">
        <w:rPr>
          <w:b w:val="0"/>
        </w:rPr>
        <w:t xml:space="preserve">se stanovenou metodou vykazování výdajů 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CC78E4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9B26FDA" w:rsidR="002B173C" w:rsidRDefault="00D273DB" w:rsidP="003423BA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455AD32C" w:rsidR="00242BC8" w:rsidRDefault="00072726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2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1A5C2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74535A">
        <w:rPr>
          <w:b w:val="0"/>
        </w:rPr>
        <w:t>U pro</w:t>
      </w:r>
      <w:r w:rsidR="00315224" w:rsidRPr="0074535A">
        <w:rPr>
          <w:b w:val="0"/>
        </w:rPr>
        <w:softHyphen/>
      </w:r>
      <w:r w:rsidR="00D273DB" w:rsidRPr="0074535A">
        <w:rPr>
          <w:b w:val="0"/>
        </w:rPr>
        <w:t>jektů</w:t>
      </w:r>
      <w:r w:rsidR="004F317E" w:rsidRPr="0074535A">
        <w:rPr>
          <w:b w:val="0"/>
        </w:rPr>
        <w:t xml:space="preserve">, které vykazují indikátor </w:t>
      </w:r>
      <w:r w:rsidR="001540F7" w:rsidRPr="0074535A">
        <w:rPr>
          <w:b w:val="0"/>
        </w:rPr>
        <w:t>600</w:t>
      </w:r>
      <w:r w:rsidR="00E71084" w:rsidRPr="0074535A">
        <w:rPr>
          <w:b w:val="0"/>
        </w:rPr>
        <w:t> </w:t>
      </w:r>
      <w:r w:rsidR="001540F7" w:rsidRPr="0074535A">
        <w:rPr>
          <w:b w:val="0"/>
        </w:rPr>
        <w:t xml:space="preserve">000 </w:t>
      </w:r>
      <w:r w:rsidR="004F317E" w:rsidRPr="0074535A">
        <w:rPr>
          <w:b w:val="0"/>
        </w:rPr>
        <w:t>Celkový počet účastníků</w:t>
      </w:r>
      <w:r w:rsidR="00464CA5" w:rsidRPr="0074535A">
        <w:rPr>
          <w:b w:val="0"/>
        </w:rPr>
        <w:t>,</w:t>
      </w:r>
      <w:r w:rsidR="00D273DB" w:rsidRPr="0074535A">
        <w:rPr>
          <w:b w:val="0"/>
        </w:rPr>
        <w:t xml:space="preserve"> je </w:t>
      </w:r>
      <w:r w:rsidR="00EE35F1" w:rsidRPr="0074535A">
        <w:rPr>
          <w:b w:val="0"/>
        </w:rPr>
        <w:t>P</w:t>
      </w:r>
      <w:r w:rsidR="00D273DB" w:rsidRPr="0074535A">
        <w:rPr>
          <w:b w:val="0"/>
        </w:rPr>
        <w:t>říjemce</w:t>
      </w:r>
      <w:r w:rsidR="00B04E6A" w:rsidRPr="0074535A">
        <w:rPr>
          <w:b w:val="0"/>
        </w:rPr>
        <w:t xml:space="preserve"> dále</w:t>
      </w:r>
      <w:r w:rsidR="00D273DB" w:rsidRPr="0074535A">
        <w:rPr>
          <w:b w:val="0"/>
        </w:rPr>
        <w:t xml:space="preserve"> povinen vykazovat i indikátory dle Přílohy 1 </w:t>
      </w:r>
      <w:r w:rsidR="00C805B9" w:rsidRPr="0074535A">
        <w:rPr>
          <w:b w:val="0"/>
        </w:rPr>
        <w:t>Nařízení č. 2021/1057</w:t>
      </w:r>
      <w:r w:rsidR="00D273DB" w:rsidRPr="0074535A">
        <w:rPr>
          <w:b w:val="0"/>
        </w:rPr>
        <w:t>.</w:t>
      </w:r>
      <w:bookmarkEnd w:id="2"/>
      <w:r w:rsidR="00F05F6B" w:rsidRPr="0074535A">
        <w:rPr>
          <w:rStyle w:val="Znakapoznpodarou"/>
          <w:b w:val="0"/>
        </w:rPr>
        <w:footnoteReference w:id="10"/>
      </w:r>
    </w:p>
    <w:p w14:paraId="263C2A4E" w14:textId="6C1FB03F" w:rsidR="005D1B51" w:rsidRPr="00514182" w:rsidRDefault="00480809" w:rsidP="0010063E">
      <w:pPr>
        <w:pStyle w:val="Headline2proTP"/>
        <w:numPr>
          <w:ilvl w:val="0"/>
          <w:numId w:val="60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74535A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74535A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4BEF30E7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EF3F9A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DD95CA1" w:rsidR="001E71C1" w:rsidRPr="00561C9E" w:rsidRDefault="001E71C1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3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3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Příjemce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73801201" w:rsidR="00242BC8" w:rsidRPr="00561C9E" w:rsidRDefault="00242BC8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0C5A70" w:rsidRPr="00561C9E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>Příjemce povinen doplnit nebo opravit 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</w:t>
      </w:r>
      <w:r w:rsidR="009258FF" w:rsidRPr="00561C9E">
        <w:rPr>
          <w:rFonts w:eastAsiaTheme="minorHAnsi" w:cs="Arial"/>
          <w:b w:val="0"/>
          <w:szCs w:val="22"/>
          <w:lang w:eastAsia="en-US"/>
        </w:rPr>
        <w:t xml:space="preserve"> dle podmínek stanovených v</w:t>
      </w:r>
      <w:r w:rsidR="007D7BED" w:rsidRPr="00561C9E">
        <w:rPr>
          <w:rFonts w:eastAsiaTheme="minorHAnsi" w:cs="Arial"/>
          <w:b w:val="0"/>
          <w:szCs w:val="22"/>
          <w:lang w:eastAsia="en-US"/>
        </w:rPr>
        <w:t> </w:t>
      </w:r>
      <w:r w:rsidR="009258FF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t>Oznamovací povinnost</w:t>
      </w:r>
      <w:bookmarkEnd w:id="6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7B3D6F5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>projektu, je Příjemce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CFB207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>PpŽP</w:t>
      </w:r>
      <w:r w:rsidR="007D7BED">
        <w:rPr>
          <w:b w:val="0"/>
        </w:rPr>
        <w:t xml:space="preserve"> ZP</w:t>
      </w:r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8" w:name="_Ref456361390"/>
      <w:bookmarkStart w:id="9" w:name="_Ref211584199"/>
    </w:p>
    <w:p w14:paraId="072E2C54" w14:textId="77777777" w:rsidR="00976A2C" w:rsidRDefault="009315AC" w:rsidP="00976A2C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1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Pr="000139EF">
        <w:rPr>
          <w:b w:val="0"/>
        </w:rPr>
        <w:t>.</w:t>
      </w:r>
      <w:bookmarkEnd w:id="8"/>
    </w:p>
    <w:p w14:paraId="0DD98D75" w14:textId="1627928F" w:rsidR="006533B2" w:rsidRPr="00976A2C" w:rsidRDefault="006533B2" w:rsidP="00976A2C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  <w:bCs/>
        </w:rPr>
      </w:pPr>
      <w:r w:rsidRPr="00976A2C">
        <w:rPr>
          <w:b w:val="0"/>
          <w:bCs/>
        </w:rPr>
        <w:t>Přesahuj</w:t>
      </w:r>
      <w:r w:rsidR="005E09F4" w:rsidRPr="00976A2C">
        <w:rPr>
          <w:b w:val="0"/>
          <w:bCs/>
        </w:rPr>
        <w:t>e</w:t>
      </w:r>
      <w:r w:rsidRPr="00976A2C">
        <w:rPr>
          <w:b w:val="0"/>
          <w:bCs/>
        </w:rPr>
        <w:t>-li hodnota veřejné zakázky prahové hodnoty pro nadlimitní veřejné zakázky ve smyslu nařízení vlády č. 172/2016 Sb</w:t>
      </w:r>
      <w:r w:rsidRPr="00976A2C">
        <w:rPr>
          <w:rFonts w:asciiTheme="minorHAnsi" w:hAnsiTheme="minorHAnsi" w:cstheme="minorHAnsi"/>
          <w:b w:val="0"/>
          <w:bCs/>
        </w:rPr>
        <w:t>.,</w:t>
      </w:r>
      <w:r w:rsidRPr="00976A2C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5725FF" w:rsidRPr="00976A2C">
        <w:rPr>
          <w:rFonts w:asciiTheme="minorHAnsi" w:hAnsiTheme="minorHAnsi" w:cstheme="minorHAnsi"/>
          <w:b w:val="0"/>
          <w:bCs/>
          <w:szCs w:val="22"/>
        </w:rPr>
        <w:t>o stanovení finančních limitů a částek pro účely zákona o zadávání veřejných zakázek, ve znění pozdějších předpisů</w:t>
      </w:r>
      <w:r w:rsidR="009710E6" w:rsidRPr="00976A2C">
        <w:rPr>
          <w:rFonts w:asciiTheme="minorHAnsi" w:hAnsiTheme="minorHAnsi" w:cstheme="minorHAnsi"/>
          <w:b w:val="0"/>
          <w:bCs/>
          <w:szCs w:val="22"/>
        </w:rPr>
        <w:t>,</w:t>
      </w:r>
      <w:r w:rsidRPr="00976A2C">
        <w:rPr>
          <w:b w:val="0"/>
          <w:bCs/>
        </w:rPr>
        <w:t xml:space="preserve"> je příjemce povinen, bez ohledu na způsob financování veřejné zakázky, sdělit</w:t>
      </w:r>
      <w:r w:rsidR="009710E6" w:rsidRPr="00976A2C">
        <w:rPr>
          <w:b w:val="0"/>
          <w:bCs/>
        </w:rPr>
        <w:t xml:space="preserve"> Poskytovateli dotace</w:t>
      </w:r>
      <w:r w:rsidRPr="00976A2C">
        <w:rPr>
          <w:b w:val="0"/>
          <w:bCs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0" w:name="_Ref456361668"/>
      <w:bookmarkEnd w:id="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0"/>
    </w:p>
    <w:p w14:paraId="4F05E1F4" w14:textId="48F8E3D3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t>Kontrola</w:t>
      </w:r>
      <w:bookmarkEnd w:id="11"/>
      <w:r w:rsidRPr="00347CB3">
        <w:t>/audit</w:t>
      </w:r>
      <w:bookmarkEnd w:id="12"/>
    </w:p>
    <w:p w14:paraId="4F05E1F6" w14:textId="7DF2D11A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3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2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2088ED9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3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5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5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0736837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6" w:name="_Ref211606175"/>
      <w:r w:rsidRPr="00347CB3">
        <w:t>Vypořádání projektu</w:t>
      </w:r>
      <w:bookmarkEnd w:id="16"/>
    </w:p>
    <w:p w14:paraId="397DD312" w14:textId="188A050A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3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C678BC">
        <w:rPr>
          <w:rStyle w:val="Znakapoznpodarou"/>
          <w:spacing w:val="-4"/>
          <w:highlight w:val="lightGray"/>
        </w:rPr>
        <w:footnoteReference w:id="14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682"/>
      <w:r w:rsidRPr="00347CB3">
        <w:t>Uchovávání dokumentů</w:t>
      </w:r>
      <w:bookmarkEnd w:id="17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4DA84B9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61511254"/>
      <w:bookmarkStart w:id="19" w:name="_Hlk97304745"/>
      <w:r w:rsidRPr="00347CB3">
        <w:t>Péče o majetek</w:t>
      </w:r>
      <w:bookmarkEnd w:id="18"/>
      <w:r w:rsidRPr="00347CB3">
        <w:t xml:space="preserve"> </w:t>
      </w:r>
    </w:p>
    <w:p w14:paraId="2287A292" w14:textId="1B844B41" w:rsidR="00D77D60" w:rsidRDefault="00495B2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6FA50E56" w:rsidR="00D77D60" w:rsidRDefault="0029107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>
        <w:t>S výjimkou případů, kdy se jedná o naplňování účelu projektu, Příjemce nesmí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7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</w:t>
      </w:r>
      <w:r w:rsidRPr="00347CB3">
        <w:lastRenderedPageBreak/>
        <w:t xml:space="preserve">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>
        <w:t>P</w:t>
      </w:r>
      <w:r w:rsidRPr="00347CB3">
        <w:t>říjemce nijak omezeno.</w:t>
      </w:r>
      <w:r w:rsidR="00124D22">
        <w:t xml:space="preserve"> </w:t>
      </w:r>
    </w:p>
    <w:p w14:paraId="4F05E207" w14:textId="6ABECA73" w:rsidR="00495B2F" w:rsidRDefault="0029107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36578BB" w:rsidR="007B1792" w:rsidRPr="00900752" w:rsidRDefault="007B1792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V případě </w:t>
      </w:r>
      <w:r w:rsidRPr="00900752">
        <w:rPr>
          <w:rFonts w:asciiTheme="minorHAnsi" w:hAnsiTheme="minorHAnsi" w:cstheme="minorHAnsi"/>
          <w:lang w:val="x-none"/>
        </w:rPr>
        <w:t>pronájmu</w:t>
      </w:r>
      <w:r w:rsidRPr="00900752">
        <w:rPr>
          <w:rFonts w:asciiTheme="minorHAnsi" w:hAnsiTheme="minorHAnsi" w:cstheme="minorHAnsi"/>
        </w:rPr>
        <w:t>/výpůjčky</w:t>
      </w:r>
      <w:r w:rsidRPr="00900752">
        <w:rPr>
          <w:rFonts w:asciiTheme="minorHAnsi" w:hAnsiTheme="minorHAnsi" w:cstheme="minorHAnsi"/>
          <w:lang w:val="x-none"/>
        </w:rPr>
        <w:t xml:space="preserve"> přístrojů </w:t>
      </w:r>
      <w:r w:rsidRPr="00900752">
        <w:rPr>
          <w:rFonts w:asciiTheme="minorHAnsi" w:hAnsiTheme="minorHAnsi" w:cstheme="minorHAnsi"/>
        </w:rPr>
        <w:t>(s výjimkou přístrojů podpořených v režimu podpory de</w:t>
      </w:r>
      <w:r w:rsidR="00C64D51" w:rsidRPr="00900752">
        <w:rPr>
          <w:rFonts w:asciiTheme="minorHAnsi" w:hAnsiTheme="minorHAnsi" w:cstheme="minorHAnsi"/>
        </w:rPr>
        <w:t> </w:t>
      </w:r>
      <w:r w:rsidRPr="00900752">
        <w:rPr>
          <w:rFonts w:asciiTheme="minorHAnsi" w:hAnsiTheme="minorHAnsi" w:cstheme="minorHAnsi"/>
        </w:rPr>
        <w:t xml:space="preserve">minimis) je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>říjemce povinen</w:t>
      </w:r>
      <w:r w:rsidRPr="00900752">
        <w:rPr>
          <w:rFonts w:asciiTheme="minorHAnsi" w:hAnsiTheme="minorHAnsi" w:cstheme="minorHAnsi"/>
          <w:lang w:val="x-none"/>
        </w:rPr>
        <w:t xml:space="preserve"> </w:t>
      </w:r>
      <w:r w:rsidRPr="00900752">
        <w:rPr>
          <w:rFonts w:asciiTheme="minorHAnsi" w:hAnsiTheme="minorHAnsi" w:cstheme="minorHAnsi"/>
        </w:rPr>
        <w:t xml:space="preserve">vést </w:t>
      </w:r>
      <w:r w:rsidRPr="00900752">
        <w:rPr>
          <w:rFonts w:asciiTheme="minorHAnsi" w:hAnsiTheme="minorHAnsi" w:cstheme="minorHAnsi"/>
          <w:lang w:val="x-none"/>
        </w:rPr>
        <w:t>u přístroje, který chce doplňkově pronajmout</w:t>
      </w:r>
      <w:r w:rsidRPr="00900752">
        <w:rPr>
          <w:rFonts w:asciiTheme="minorHAnsi" w:hAnsiTheme="minorHAnsi" w:cstheme="minorHAnsi"/>
        </w:rPr>
        <w:t>/vypůjčit</w:t>
      </w:r>
      <w:r w:rsidRPr="00900752">
        <w:rPr>
          <w:rFonts w:asciiTheme="minorHAnsi" w:hAnsiTheme="minorHAnsi" w:cstheme="minorHAnsi"/>
          <w:lang w:val="x-none"/>
        </w:rPr>
        <w:t>, přístrojový deník</w:t>
      </w:r>
      <w:r w:rsidRPr="00900752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>říjemce obdobně povinen</w:t>
      </w:r>
      <w:r w:rsidRPr="00900752">
        <w:rPr>
          <w:rFonts w:asciiTheme="minorHAnsi" w:hAnsiTheme="minorHAnsi" w:cstheme="minorHAnsi"/>
          <w:lang w:val="x-none"/>
        </w:rPr>
        <w:t xml:space="preserve"> </w:t>
      </w:r>
      <w:r w:rsidRPr="00900752">
        <w:rPr>
          <w:rFonts w:asciiTheme="minorHAnsi" w:hAnsiTheme="minorHAnsi" w:cstheme="minorHAnsi"/>
        </w:rPr>
        <w:t>vést deník ploch</w:t>
      </w:r>
      <w:r w:rsidR="00726349" w:rsidRPr="00900752">
        <w:rPr>
          <w:rFonts w:asciiTheme="minorHAnsi" w:hAnsiTheme="minorHAnsi" w:cstheme="minorHAnsi"/>
        </w:rPr>
        <w:t>y</w:t>
      </w:r>
      <w:r w:rsidRPr="00900752">
        <w:rPr>
          <w:rFonts w:asciiTheme="minorHAnsi" w:hAnsiTheme="minorHAnsi" w:cstheme="minorHAnsi"/>
        </w:rPr>
        <w:t xml:space="preserve">, </w:t>
      </w:r>
      <w:r w:rsidRPr="00900752">
        <w:rPr>
          <w:rFonts w:asciiTheme="minorHAnsi" w:hAnsiTheme="minorHAnsi" w:cstheme="minorHAnsi"/>
          <w:bCs/>
        </w:rPr>
        <w:t>který umožní odlišit pronájem/výpůjčk</w:t>
      </w:r>
      <w:r w:rsidR="00726349" w:rsidRPr="00900752">
        <w:rPr>
          <w:rFonts w:asciiTheme="minorHAnsi" w:hAnsiTheme="minorHAnsi" w:cstheme="minorHAnsi"/>
          <w:bCs/>
        </w:rPr>
        <w:t>u</w:t>
      </w:r>
      <w:r w:rsidRPr="00900752">
        <w:rPr>
          <w:rFonts w:asciiTheme="minorHAnsi" w:hAnsiTheme="minorHAnsi" w:cstheme="minorHAnsi"/>
          <w:bCs/>
        </w:rPr>
        <w:t xml:space="preserve"> nemovitost</w:t>
      </w:r>
      <w:r w:rsidR="00726349" w:rsidRPr="00900752">
        <w:rPr>
          <w:rFonts w:asciiTheme="minorHAnsi" w:hAnsiTheme="minorHAnsi" w:cstheme="minorHAnsi"/>
          <w:bCs/>
        </w:rPr>
        <w:t>i</w:t>
      </w:r>
      <w:r w:rsidRPr="00900752">
        <w:rPr>
          <w:rFonts w:asciiTheme="minorHAnsi" w:hAnsiTheme="minorHAnsi" w:cstheme="minorHAnsi"/>
          <w:bCs/>
        </w:rPr>
        <w:t xml:space="preserve"> či její části od ostatního využití </w:t>
      </w:r>
      <w:r w:rsidR="00F14157" w:rsidRPr="00900752">
        <w:rPr>
          <w:rFonts w:asciiTheme="minorHAnsi" w:hAnsiTheme="minorHAnsi" w:cstheme="minorHAnsi"/>
          <w:bCs/>
        </w:rPr>
        <w:t>P</w:t>
      </w:r>
      <w:r w:rsidRPr="00900752">
        <w:rPr>
          <w:rFonts w:asciiTheme="minorHAnsi" w:hAnsiTheme="minorHAnsi" w:cstheme="minorHAnsi"/>
          <w:bCs/>
        </w:rPr>
        <w:t>říjemcem</w:t>
      </w:r>
      <w:r w:rsidRPr="00900752">
        <w:rPr>
          <w:rFonts w:asciiTheme="minorHAnsi" w:hAnsiTheme="minorHAnsi" w:cstheme="minorHAnsi"/>
        </w:rPr>
        <w:t>.</w:t>
      </w:r>
      <w:r w:rsidR="00055868" w:rsidRPr="00900752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72EADD2B" w:rsidR="005113DD" w:rsidRPr="00900752" w:rsidRDefault="005113DD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Příjemce je povinen </w:t>
      </w:r>
      <w:r w:rsidR="00C274EF" w:rsidRPr="00900752">
        <w:rPr>
          <w:rFonts w:asciiTheme="minorHAnsi" w:hAnsiTheme="minorHAnsi" w:cstheme="minorHAnsi"/>
        </w:rPr>
        <w:t>o pronájmech</w:t>
      </w:r>
      <w:r w:rsidR="0036371F" w:rsidRPr="00900752">
        <w:rPr>
          <w:rFonts w:asciiTheme="minorHAnsi" w:hAnsiTheme="minorHAnsi" w:cstheme="minorHAnsi"/>
        </w:rPr>
        <w:t xml:space="preserve"> nebo výpůjčkách</w:t>
      </w:r>
      <w:r w:rsidR="00C274EF" w:rsidRPr="00900752">
        <w:rPr>
          <w:rFonts w:asciiTheme="minorHAnsi" w:hAnsiTheme="minorHAnsi" w:cstheme="minorHAnsi"/>
        </w:rPr>
        <w:t xml:space="preserve"> realizovaných v daném období informovat Ř</w:t>
      </w:r>
      <w:r w:rsidR="00003533" w:rsidRPr="00900752">
        <w:rPr>
          <w:rFonts w:asciiTheme="minorHAnsi" w:hAnsiTheme="minorHAnsi" w:cstheme="minorHAnsi"/>
        </w:rPr>
        <w:t>ídicí orgán</w:t>
      </w:r>
      <w:r w:rsidR="00C274EF" w:rsidRPr="00900752">
        <w:rPr>
          <w:rFonts w:asciiTheme="minorHAnsi" w:hAnsiTheme="minorHAnsi" w:cstheme="minorHAnsi"/>
        </w:rPr>
        <w:t xml:space="preserve"> OP JAK v rámci příslušné </w:t>
      </w:r>
      <w:r w:rsidR="004C4BC3" w:rsidRPr="00900752">
        <w:rPr>
          <w:rFonts w:asciiTheme="minorHAnsi" w:hAnsiTheme="minorHAnsi" w:cstheme="minorHAnsi"/>
        </w:rPr>
        <w:t>zprávy</w:t>
      </w:r>
      <w:r w:rsidR="0097388B" w:rsidRPr="00900752">
        <w:rPr>
          <w:rFonts w:asciiTheme="minorHAnsi" w:hAnsiTheme="minorHAnsi" w:cstheme="minorHAnsi"/>
        </w:rPr>
        <w:t xml:space="preserve"> o </w:t>
      </w:r>
      <w:r w:rsidR="009E706E" w:rsidRPr="00900752">
        <w:rPr>
          <w:rFonts w:asciiTheme="minorHAnsi" w:hAnsiTheme="minorHAnsi" w:cstheme="minorHAnsi"/>
        </w:rPr>
        <w:t>realizaci</w:t>
      </w:r>
      <w:r w:rsidR="0097388B" w:rsidRPr="00900752">
        <w:rPr>
          <w:rFonts w:asciiTheme="minorHAnsi" w:hAnsiTheme="minorHAnsi" w:cstheme="minorHAnsi"/>
        </w:rPr>
        <w:t xml:space="preserve"> projektu</w:t>
      </w:r>
      <w:r w:rsidR="00C274EF" w:rsidRPr="00900752">
        <w:rPr>
          <w:rFonts w:asciiTheme="minorHAnsi" w:hAnsiTheme="minorHAnsi" w:cstheme="minorHAnsi"/>
        </w:rPr>
        <w:t>.</w:t>
      </w:r>
      <w:bookmarkEnd w:id="19"/>
    </w:p>
    <w:p w14:paraId="23DB1A54" w14:textId="33C4C2D9" w:rsidR="00591868" w:rsidRPr="00900752" w:rsidRDefault="00591868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Příjemce je povinen postupovat v souladu s </w:t>
      </w:r>
      <w:r w:rsidRPr="00900752">
        <w:rPr>
          <w:rFonts w:asciiTheme="minorHAnsi" w:hAnsiTheme="minorHAnsi" w:cstheme="minorHAnsi"/>
          <w:i/>
        </w:rPr>
        <w:t>Metodikou pro nakládání s majetkem spolufinancovaným z OP JAK</w:t>
      </w:r>
      <w:r w:rsidRPr="00900752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A4B7F" w:rsidRPr="00900752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900752">
        <w:rPr>
          <w:rFonts w:asciiTheme="minorHAnsi" w:hAnsiTheme="minorHAnsi" w:cstheme="minorHAnsi"/>
          <w:highlight w:val="lightGray"/>
        </w:rPr>
        <w:t xml:space="preserve">, </w:t>
      </w:r>
      <w:r w:rsidR="00E11E7E" w:rsidRPr="0090075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900752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 w:rsidRPr="00900752">
        <w:rPr>
          <w:rFonts w:asciiTheme="minorHAnsi" w:hAnsiTheme="minorHAnsi" w:cstheme="minorHAnsi"/>
        </w:rPr>
        <w:t>.</w:t>
      </w:r>
    </w:p>
    <w:p w14:paraId="4F05E208" w14:textId="045343CA" w:rsidR="00495B2F" w:rsidRPr="00347CB3" w:rsidRDefault="00D50137" w:rsidP="00A951D8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3233DACC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Pr="00BF0EDD">
        <w:rPr>
          <w:b w:val="0"/>
        </w:rPr>
        <w:t>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lastRenderedPageBreak/>
        <w:t>Veřejná podpora</w:t>
      </w:r>
      <w:r w:rsidR="000A0C4D" w:rsidRPr="00657DBE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A951D8">
      <w:pPr>
        <w:pStyle w:val="Headline2proTP"/>
        <w:keepNext w:val="0"/>
        <w:numPr>
          <w:ilvl w:val="0"/>
          <w:numId w:val="64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A951D8">
      <w:pPr>
        <w:pStyle w:val="Headline2proTP"/>
        <w:keepNext w:val="0"/>
        <w:numPr>
          <w:ilvl w:val="0"/>
          <w:numId w:val="64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4036D750" w:rsidR="00495B2F" w:rsidRPr="00A951D8" w:rsidRDefault="00495B2F" w:rsidP="00A951D8">
      <w:pPr>
        <w:pStyle w:val="Odstavecseseznamem"/>
        <w:numPr>
          <w:ilvl w:val="0"/>
          <w:numId w:val="64"/>
        </w:numPr>
        <w:ind w:left="567" w:hanging="567"/>
        <w:rPr>
          <w:b/>
          <w:u w:val="single"/>
        </w:rPr>
      </w:pPr>
      <w:r w:rsidRPr="00A951D8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1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2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0" w:name="_Ref456361567"/>
      <w:r w:rsidRPr="00347CB3">
        <w:t>Evaluace</w:t>
      </w:r>
      <w:bookmarkEnd w:id="20"/>
    </w:p>
    <w:p w14:paraId="4F05E227" w14:textId="5AD16600" w:rsidR="00495B2F" w:rsidRPr="00347CB3" w:rsidRDefault="00495B2F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0934B1EF" w:rsidR="00495B2F" w:rsidRDefault="00495B2F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668DB59B" w:rsidR="0088090B" w:rsidRPr="0088090B" w:rsidRDefault="0088090B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1" w:name="_Ref456361678"/>
      <w:r>
        <w:t>Komunikace v MS20</w:t>
      </w:r>
      <w:r w:rsidR="00AC5322">
        <w:t>21</w:t>
      </w:r>
      <w:r>
        <w:t>+</w:t>
      </w:r>
      <w:bookmarkEnd w:id="21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8631CEF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Poskytovatel dotace pověřuje Příjemce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46C5AC8A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r>
        <w:t>PpŽP</w:t>
      </w:r>
      <w:r w:rsidR="005635F0">
        <w:t xml:space="preserve"> ZP</w:t>
      </w:r>
      <w:r>
        <w:t>.</w:t>
      </w:r>
    </w:p>
    <w:p w14:paraId="20CA45B0" w14:textId="50068B09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lastRenderedPageBreak/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5015D5D" w:rsidR="00495B2F" w:rsidRPr="000E3F09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>dodavatelem, pokud taková osoba má v souvislosti s realizací projektu zpracovávat osobní údaje podpořených osob. Tyto smlouvy musí upravovat podmínky zpracování osobních údajů obdobně jako podmínky stanovené v tomto Pověření Příjemce v této části tohoto Rozhodnutí.</w:t>
      </w:r>
    </w:p>
    <w:p w14:paraId="6B3E4D1F" w14:textId="77777777" w:rsidR="00E935D2" w:rsidRDefault="00E935D2" w:rsidP="00E935D2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3"/>
      </w:r>
    </w:p>
    <w:p w14:paraId="50218344" w14:textId="77777777" w:rsidR="00E935D2" w:rsidRPr="007F1DE9" w:rsidRDefault="00E935D2" w:rsidP="00E935D2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30B59BD9" w14:textId="77777777" w:rsidR="00E935D2" w:rsidRDefault="00E935D2" w:rsidP="00E935D2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228ACFF" w14:textId="77777777" w:rsidR="00E935D2" w:rsidRDefault="00E935D2" w:rsidP="00F44D5F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4"/>
      </w:r>
    </w:p>
    <w:p w14:paraId="3529C146" w14:textId="77777777" w:rsidR="00F44D5F" w:rsidRPr="00F44D5F" w:rsidRDefault="00F44D5F" w:rsidP="00F44D5F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2D819252" w14:textId="55BFABAC" w:rsidR="00E935D2" w:rsidRDefault="00E935D2" w:rsidP="00F44D5F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5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5ED72BE7" w14:textId="0E31022F" w:rsidR="00E935D2" w:rsidRPr="003F4ECC" w:rsidRDefault="00E935D2" w:rsidP="00F44D5F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 w:rsidR="00A7648E">
        <w:rPr>
          <w:rStyle w:val="Znakapoznpodarou"/>
          <w:rFonts w:eastAsia="Calibri"/>
          <w:b w:val="0"/>
          <w:highlight w:val="lightGray"/>
        </w:rPr>
        <w:footnoteReference w:id="26"/>
      </w:r>
      <w:r w:rsidRPr="003F4ECC">
        <w:rPr>
          <w:rFonts w:eastAsia="Calibri"/>
          <w:b w:val="0"/>
        </w:rPr>
        <w:t xml:space="preserve"> části II tohoto Rozhodnutí.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33C49F61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1D05F1E9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03A0FD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</w:t>
      </w:r>
      <w:r w:rsidRPr="00917D34">
        <w:rPr>
          <w:rFonts w:eastAsia="Calibri"/>
          <w:b w:val="0"/>
        </w:rPr>
        <w:lastRenderedPageBreak/>
        <w:t xml:space="preserve">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D6A2D6C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7"/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369315F0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081E33E4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45C36181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</w:t>
      </w:r>
      <w:proofErr w:type="gramStart"/>
      <w:r w:rsidR="00AF3F6F">
        <w:t>2</w:t>
      </w:r>
      <w:r w:rsidR="000C2E33">
        <w:t xml:space="preserve"> –</w:t>
      </w:r>
      <w:r w:rsidR="0095163C">
        <w:t xml:space="preserve"> </w:t>
      </w:r>
      <w:r w:rsidR="00AF3F6F">
        <w:t>11</w:t>
      </w:r>
      <w:proofErr w:type="gramEnd"/>
      <w:r w:rsidR="00AF3F6F">
        <w:t>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74535A">
        <w:rPr>
          <w:highlight w:val="lightGray"/>
        </w:rPr>
        <w:t xml:space="preserve">a </w:t>
      </w:r>
      <w:r w:rsidR="005E190C" w:rsidRPr="0074535A">
        <w:rPr>
          <w:highlight w:val="lightGray"/>
        </w:rPr>
        <w:t>23</w:t>
      </w:r>
      <w:r w:rsidR="000634D1">
        <w:rPr>
          <w:rStyle w:val="Znakapoznpodarou"/>
          <w:highlight w:val="lightGray"/>
        </w:rPr>
        <w:footnoteReference w:id="28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8A3C35E" w:rsidR="00AB6105" w:rsidRPr="000C2E33" w:rsidRDefault="00E5509A" w:rsidP="000C2E33">
      <w:pPr>
        <w:ind w:left="426"/>
      </w:pPr>
      <w:r w:rsidRPr="00E5509A">
        <w:lastRenderedPageBreak/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3" w:name="_Hlk94014998"/>
    </w:p>
    <w:bookmarkEnd w:id="23"/>
    <w:p w14:paraId="3E73423F" w14:textId="147EDD19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FE094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05AADCB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4A000AF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26E4B6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lastRenderedPageBreak/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06B1528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1114EA7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BB85DC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elektronické a souhrnné zadávání </w:t>
            </w:r>
            <w:r w:rsidRPr="0004369D">
              <w:rPr>
                <w:rFonts w:asciiTheme="minorHAnsi" w:hAnsiTheme="minorHAnsi"/>
              </w:rPr>
              <w:lastRenderedPageBreak/>
              <w:t>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9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4AF3BAB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elektronické nebo souhrnné zadávání veřejných zakázek (tj. </w:t>
            </w:r>
            <w:r w:rsidRPr="0004369D">
              <w:rPr>
                <w:rFonts w:asciiTheme="minorHAnsi" w:hAnsiTheme="minorHAnsi"/>
              </w:rPr>
              <w:lastRenderedPageBreak/>
              <w:t>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10 %, pokud nedodržení zákonných postupů mohlo mít za následek odrazení potenciálních účastníků </w:t>
            </w:r>
            <w:r w:rsidRPr="007F7310">
              <w:rPr>
                <w:rFonts w:asciiTheme="minorHAnsi" w:hAnsiTheme="minorHAnsi"/>
              </w:rPr>
              <w:lastRenderedPageBreak/>
              <w:t xml:space="preserve">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4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6625DD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4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</w:t>
            </w:r>
            <w:r w:rsidRPr="007F7310">
              <w:rPr>
                <w:rFonts w:asciiTheme="minorHAnsi" w:hAnsiTheme="minorHAnsi"/>
              </w:rPr>
              <w:lastRenderedPageBreak/>
              <w:t xml:space="preserve">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4A123CD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38B53BF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v případech stanovení technických podmínek </w:t>
            </w:r>
            <w:r w:rsidRPr="007F7310">
              <w:rPr>
                <w:rFonts w:asciiTheme="minorHAnsi" w:hAnsiTheme="minorHAnsi"/>
              </w:rPr>
              <w:lastRenderedPageBreak/>
              <w:t>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507196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0ADCFC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</w:t>
            </w:r>
            <w:r w:rsidRPr="0004369D">
              <w:rPr>
                <w:rFonts w:asciiTheme="minorHAnsi" w:hAnsiTheme="minorHAnsi"/>
              </w:rPr>
              <w:lastRenderedPageBreak/>
              <w:t>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Kritéria, která zadavatel stanovil </w:t>
            </w:r>
            <w:r w:rsidRPr="0004369D">
              <w:rPr>
                <w:rFonts w:asciiTheme="minorHAnsi" w:hAnsiTheme="minorHAnsi"/>
              </w:rPr>
              <w:lastRenderedPageBreak/>
              <w:t>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lastRenderedPageBreak/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083CD853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9FD2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8C6CC7"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Neodůvodněné vyloučení účastníka, jehož nabídka </w:t>
            </w:r>
            <w:r w:rsidRPr="0004369D">
              <w:rPr>
                <w:rFonts w:asciiTheme="minorHAnsi" w:hAnsiTheme="minorHAnsi"/>
              </w:rPr>
              <w:lastRenderedPageBreak/>
              <w:t>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lastRenderedPageBreak/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50B022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</w:t>
            </w:r>
            <w:r w:rsidRPr="007F7310">
              <w:rPr>
                <w:rFonts w:asciiTheme="minorHAnsi" w:hAnsiTheme="minorHAnsi"/>
              </w:rPr>
              <w:lastRenderedPageBreak/>
              <w:t>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102858F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6C418C14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5" w:name="_Toc405814473"/>
      <w:r w:rsidR="0008595B" w:rsidRPr="001B102B">
        <w:rPr>
          <w:vertAlign w:val="superscript"/>
        </w:rPr>
        <w:footnoteReference w:id="30"/>
      </w:r>
      <w:bookmarkEnd w:id="25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1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6" w:name="_Toc405814474"/>
      <w:bookmarkEnd w:id="26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DD255F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D255F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D255F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5E7C0E26" w14:textId="56C2CAF2" w:rsidR="00DD255F" w:rsidRPr="001309B1" w:rsidRDefault="00DD255F" w:rsidP="0074535A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bookmarkStart w:id="27" w:name="_Hlk110238461"/>
      <w:r w:rsidRPr="0074535A">
        <w:rPr>
          <w:highlight w:val="lightGray"/>
        </w:rPr>
        <w:t>24.2</w:t>
      </w:r>
      <w:r w:rsidR="000B4F2B">
        <w:rPr>
          <w:rStyle w:val="Znakapoznpodarou"/>
          <w:highlight w:val="lightGray"/>
        </w:rPr>
        <w:footnoteReference w:id="32"/>
      </w:r>
      <w:r w:rsidRPr="00C5535E">
        <w:t xml:space="preserve"> </w:t>
      </w:r>
      <w:bookmarkEnd w:id="27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3"/>
      </w:r>
      <w:r w:rsidRPr="00C5535E">
        <w:t>.</w:t>
      </w:r>
      <w:r w:rsidRPr="0074535A">
        <w:rPr>
          <w:rStyle w:val="Znakapoznpodarou"/>
          <w:highlight w:val="lightGray"/>
        </w:rPr>
        <w:footnoteReference w:id="34"/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14FF87D5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5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460D87">
      <w:r>
        <w:t>Příloha č. 2 – Přehled šablon a jejich věcný výklad</w:t>
      </w:r>
    </w:p>
    <w:p w14:paraId="45C4E013" w14:textId="274A4789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A6D58">
        <w:rPr>
          <w:rFonts w:eastAsia="Times New Roman" w:cs="Arial"/>
          <w:iCs/>
          <w:snapToGrid w:val="0"/>
          <w:lang w:eastAsia="cs-CZ"/>
        </w:rPr>
        <w:t>1</w:t>
      </w:r>
      <w:r w:rsidR="00FA6D58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D62FD8">
        <w:t>17. 5. 2022</w:t>
      </w:r>
      <w:r w:rsidR="00D62FD8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25D4901D" w:rsidR="00297F71" w:rsidRDefault="006F5F1A" w:rsidP="00E0429A">
      <w:pPr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6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lastRenderedPageBreak/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35DA" w14:textId="77777777" w:rsidR="00F4275B" w:rsidRDefault="00F4275B" w:rsidP="003365BA">
      <w:pPr>
        <w:spacing w:after="0"/>
      </w:pPr>
      <w:r>
        <w:separator/>
      </w:r>
    </w:p>
  </w:endnote>
  <w:endnote w:type="continuationSeparator" w:id="0">
    <w:p w14:paraId="79756697" w14:textId="77777777" w:rsidR="00F4275B" w:rsidRDefault="00F4275B" w:rsidP="003365BA">
      <w:pPr>
        <w:spacing w:after="0"/>
      </w:pPr>
      <w:r>
        <w:continuationSeparator/>
      </w:r>
    </w:p>
  </w:endnote>
  <w:endnote w:type="continuationNotice" w:id="1">
    <w:p w14:paraId="63DA8A33" w14:textId="77777777" w:rsidR="00F4275B" w:rsidRDefault="00F427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904F" w14:textId="77777777" w:rsidR="00F4275B" w:rsidRDefault="00F4275B" w:rsidP="003365BA">
      <w:pPr>
        <w:spacing w:after="0"/>
      </w:pPr>
      <w:r>
        <w:separator/>
      </w:r>
    </w:p>
  </w:footnote>
  <w:footnote w:type="continuationSeparator" w:id="0">
    <w:p w14:paraId="002C6626" w14:textId="77777777" w:rsidR="00F4275B" w:rsidRDefault="00F4275B" w:rsidP="003365BA">
      <w:pPr>
        <w:spacing w:after="0"/>
      </w:pPr>
      <w:r>
        <w:continuationSeparator/>
      </w:r>
    </w:p>
  </w:footnote>
  <w:footnote w:type="continuationNotice" w:id="1">
    <w:p w14:paraId="31D9ECB7" w14:textId="77777777" w:rsidR="00F4275B" w:rsidRDefault="00F4275B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 xml:space="preserve">Název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183EEE84" w14:textId="58872DE3" w:rsidR="00021080" w:rsidRPr="009D3A56" w:rsidRDefault="00021080" w:rsidP="009D3A56">
      <w:pPr>
        <w:pStyle w:val="Textpoznpodarou"/>
        <w:spacing w:after="0"/>
        <w:rPr>
          <w:highlight w:val="lightGray"/>
        </w:rPr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2.2.</w:t>
      </w:r>
    </w:p>
  </w:footnote>
  <w:footnote w:id="5">
    <w:p w14:paraId="6BE80A68" w14:textId="670F7EFA" w:rsidR="00021080" w:rsidRDefault="00021080" w:rsidP="009D3A56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9D3A56">
        <w:rPr>
          <w:highlight w:val="lightGray"/>
        </w:rPr>
        <w:t>Zvolte pro specifický cíl 2.3.</w:t>
      </w:r>
    </w:p>
  </w:footnote>
  <w:footnote w:id="6">
    <w:p w14:paraId="66E9B18A" w14:textId="38FE77F8" w:rsidR="00CF3678" w:rsidRDefault="00CF3678" w:rsidP="0074535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74535A">
        <w:rPr>
          <w:highlight w:val="lightGray"/>
        </w:rPr>
        <w:t>Uveďte podíl a částku dle MS2021+.</w:t>
      </w:r>
    </w:p>
  </w:footnote>
  <w:footnote w:id="7">
    <w:p w14:paraId="5EE7B075" w14:textId="77777777" w:rsidR="00CF3678" w:rsidRDefault="00CF3678" w:rsidP="0074535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44EC0">
        <w:rPr>
          <w:highlight w:val="lightGray"/>
        </w:rPr>
        <w:t>Uveďte podíl a částku dle MS2021+.</w:t>
      </w:r>
    </w:p>
  </w:footnote>
  <w:footnote w:id="8">
    <w:p w14:paraId="4F05E2EE" w14:textId="049B86A8" w:rsidR="00021080" w:rsidRDefault="00021080" w:rsidP="00CF3678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F5" w14:textId="72E66F03" w:rsidR="00021080" w:rsidRDefault="00021080" w:rsidP="00CF36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0">
    <w:p w14:paraId="4F05E2FC" w14:textId="388B5F4C" w:rsidR="00021080" w:rsidRDefault="00021080" w:rsidP="0029724B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74535A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1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2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3">
    <w:p w14:paraId="4F05E300" w14:textId="77777777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4">
    <w:p w14:paraId="01F02023" w14:textId="225F5A03" w:rsidR="00C678BC" w:rsidRDefault="00C678BC" w:rsidP="00C2595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2595B">
        <w:rPr>
          <w:highlight w:val="lightGray"/>
        </w:rPr>
        <w:t>Odstraňte, nemá-li příjemce zřizovatele.</w:t>
      </w:r>
    </w:p>
  </w:footnote>
  <w:footnote w:id="15">
    <w:p w14:paraId="1FEE69D7" w14:textId="3A15A08F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6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7">
    <w:p w14:paraId="79C30FF4" w14:textId="77777777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8">
    <w:p w14:paraId="790C5F37" w14:textId="21876A16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2B74A5B8" w:rsidR="00021080" w:rsidRDefault="00021080" w:rsidP="005B504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minimis, tuto část odstraňte.</w:t>
      </w:r>
    </w:p>
  </w:footnote>
  <w:footnote w:id="20">
    <w:p w14:paraId="4F05E306" w14:textId="77777777" w:rsidR="00021080" w:rsidRDefault="0002108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4F05E308" w14:textId="77777777" w:rsidR="00021080" w:rsidRPr="006C090C" w:rsidRDefault="0002108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2">
    <w:p w14:paraId="4F05E30F" w14:textId="1F5BA32D" w:rsidR="00021080" w:rsidRDefault="0002108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 xml:space="preserve">Úřední věstník EU, L 187, 26. 6. 2014, str. </w:t>
      </w:r>
      <w:proofErr w:type="gramStart"/>
      <w:r w:rsidRPr="00CA68A2">
        <w:t>1</w:t>
      </w:r>
      <w:r>
        <w:t xml:space="preserve"> </w:t>
      </w:r>
      <w:r w:rsidRPr="00CA68A2">
        <w:t>–</w:t>
      </w:r>
      <w:r>
        <w:t xml:space="preserve"> </w:t>
      </w:r>
      <w:r w:rsidRPr="00CA68A2">
        <w:t>84</w:t>
      </w:r>
      <w:proofErr w:type="gramEnd"/>
      <w:r>
        <w:t>.</w:t>
      </w:r>
    </w:p>
  </w:footnote>
  <w:footnote w:id="23">
    <w:p w14:paraId="7FBC2E22" w14:textId="1A99DE79" w:rsidR="00E935D2" w:rsidRPr="00C2595B" w:rsidRDefault="00E935D2" w:rsidP="00E935D2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pokud příjemce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vymažte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bod 23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“</w:t>
      </w:r>
      <w:r w:rsidRPr="003F4EC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z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 části IV, bodu 3</w:t>
      </w:r>
      <w:r w:rsidRPr="003F4ECC">
        <w:rPr>
          <w:highlight w:val="lightGray"/>
        </w:rPr>
        <w:t xml:space="preserve">. </w:t>
      </w:r>
    </w:p>
  </w:footnote>
  <w:footnote w:id="24">
    <w:p w14:paraId="7142B9CC" w14:textId="77777777" w:rsidR="00E935D2" w:rsidRDefault="00E935D2" w:rsidP="00A7648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highlight w:val="lightGray"/>
        </w:rPr>
        <w:t>Celý 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5">
    <w:p w14:paraId="27DEB33C" w14:textId="77777777" w:rsidR="00E935D2" w:rsidRDefault="00E935D2" w:rsidP="00A7648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6">
    <w:p w14:paraId="092D6F6A" w14:textId="70B20579" w:rsidR="00A7648E" w:rsidRDefault="00A7648E" w:rsidP="00A7648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bookmarkStart w:id="22" w:name="_Hlk109498530"/>
      <w:r w:rsidRPr="00A7648E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 w:rsidR="002A3542"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2"/>
    </w:p>
  </w:footnote>
  <w:footnote w:id="27">
    <w:p w14:paraId="1CB65338" w14:textId="10F4F6E2" w:rsidR="00021080" w:rsidRDefault="00021080" w:rsidP="0074535A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E0429A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8">
    <w:p w14:paraId="73805B97" w14:textId="54B23F83" w:rsidR="000634D1" w:rsidRDefault="000634D1" w:rsidP="0074535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53B84" w:rsidRPr="0074535A">
        <w:rPr>
          <w:highlight w:val="lightGray"/>
        </w:rPr>
        <w:t>Vy</w:t>
      </w:r>
      <w:r w:rsidRPr="0074535A">
        <w:rPr>
          <w:highlight w:val="lightGray"/>
        </w:rPr>
        <w:t>mažte</w:t>
      </w:r>
      <w:r w:rsidR="00C53B84" w:rsidRPr="000A6A3C">
        <w:rPr>
          <w:highlight w:val="lightGray"/>
        </w:rPr>
        <w:t xml:space="preserve"> označený text</w:t>
      </w:r>
      <w:r w:rsidRPr="0074535A">
        <w:rPr>
          <w:highlight w:val="lightGray"/>
        </w:rPr>
        <w:t xml:space="preserve">, pokud byl </w:t>
      </w:r>
      <w:r w:rsidR="00C53B84"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</w:t>
      </w:r>
      <w:r w:rsidR="00452BA5" w:rsidRPr="0074535A">
        <w:rPr>
          <w:highlight w:val="lightGray"/>
        </w:rPr>
        <w:t xml:space="preserve">, a to i v případě, </w:t>
      </w:r>
      <w:r w:rsidR="00C53B84" w:rsidRPr="000A6A3C">
        <w:rPr>
          <w:highlight w:val="lightGray"/>
        </w:rPr>
        <w:t>že</w:t>
      </w:r>
      <w:r w:rsidR="00452BA5" w:rsidRPr="0074535A">
        <w:rPr>
          <w:highlight w:val="lightGray"/>
        </w:rPr>
        <w:t xml:space="preserve"> se bodem 23 části II sta</w:t>
      </w:r>
      <w:r w:rsidR="00C53B84" w:rsidRPr="000A6A3C">
        <w:rPr>
          <w:highlight w:val="lightGray"/>
        </w:rPr>
        <w:t>l</w:t>
      </w:r>
      <w:r w:rsidR="00452BA5" w:rsidRPr="0074535A">
        <w:rPr>
          <w:highlight w:val="lightGray"/>
        </w:rPr>
        <w:t xml:space="preserve"> </w:t>
      </w:r>
      <w:r w:rsidR="006B1A5D" w:rsidRPr="000A6A3C">
        <w:rPr>
          <w:highlight w:val="lightGray"/>
        </w:rPr>
        <w:t>původní bod</w:t>
      </w:r>
      <w:r w:rsidR="00452BA5" w:rsidRPr="0074535A">
        <w:rPr>
          <w:highlight w:val="lightGray"/>
        </w:rPr>
        <w:t xml:space="preserve"> 24.</w:t>
      </w:r>
    </w:p>
  </w:footnote>
  <w:footnote w:id="29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0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1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2">
    <w:p w14:paraId="09F0854E" w14:textId="77777777" w:rsidR="000B4F2B" w:rsidRDefault="000B4F2B" w:rsidP="000B4F2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6013F">
        <w:rPr>
          <w:highlight w:val="lightGray"/>
        </w:rPr>
        <w:t>Přepište text „24.2“ na „23.2“, pokud byl v části II bod 23 nahrazen bodem 24.</w:t>
      </w:r>
    </w:p>
  </w:footnote>
  <w:footnote w:id="33">
    <w:p w14:paraId="45BF84D4" w14:textId="77777777" w:rsidR="00DD255F" w:rsidRDefault="00DD255F" w:rsidP="00DD255F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4">
    <w:p w14:paraId="5F5788A0" w14:textId="10F5910E" w:rsidR="00DD255F" w:rsidRDefault="00DD255F" w:rsidP="0074535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EF1611">
        <w:rPr>
          <w:highlight w:val="lightGray"/>
        </w:rPr>
        <w:t>Smažte 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 w:rsidR="00BC2DBA">
        <w:rPr>
          <w:highlight w:val="lightGray"/>
        </w:rPr>
        <w:t>.</w:t>
      </w:r>
      <w:r w:rsidR="00BC2DBA">
        <w:t xml:space="preserve"> </w:t>
      </w:r>
    </w:p>
  </w:footnote>
  <w:footnote w:id="35">
    <w:p w14:paraId="4F05E321" w14:textId="2CAC1065" w:rsidR="00021080" w:rsidRDefault="00021080" w:rsidP="00DD255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36">
    <w:p w14:paraId="67A1BA08" w14:textId="421E7A20" w:rsidR="00021080" w:rsidRDefault="00021080" w:rsidP="00DD255F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021080">
        <w:rPr>
          <w:highlight w:val="lightGray"/>
        </w:rPr>
        <w:t>V případě ručního podepisování</w:t>
      </w:r>
    </w:p>
  </w:footnote>
  <w:footnote w:id="37">
    <w:p w14:paraId="17EB938B" w14:textId="43134F61" w:rsidR="00021080" w:rsidRDefault="00021080" w:rsidP="004206CE">
      <w:pPr>
        <w:pStyle w:val="Textpoznpodarou"/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054"/>
    <w:multiLevelType w:val="hybridMultilevel"/>
    <w:tmpl w:val="20B63B44"/>
    <w:lvl w:ilvl="0" w:tplc="02720F5A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6347"/>
    <w:multiLevelType w:val="hybridMultilevel"/>
    <w:tmpl w:val="41BACB76"/>
    <w:lvl w:ilvl="0" w:tplc="01A2F296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F131534"/>
    <w:multiLevelType w:val="hybridMultilevel"/>
    <w:tmpl w:val="779AB006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B178A"/>
    <w:multiLevelType w:val="hybridMultilevel"/>
    <w:tmpl w:val="6876E308"/>
    <w:lvl w:ilvl="0" w:tplc="5AC23158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237A"/>
    <w:multiLevelType w:val="hybridMultilevel"/>
    <w:tmpl w:val="3B767C68"/>
    <w:lvl w:ilvl="0" w:tplc="ADDE96B8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52804326"/>
    <w:multiLevelType w:val="hybridMultilevel"/>
    <w:tmpl w:val="6F405258"/>
    <w:lvl w:ilvl="0" w:tplc="59F8FA54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56E99"/>
    <w:multiLevelType w:val="hybridMultilevel"/>
    <w:tmpl w:val="56A42678"/>
    <w:lvl w:ilvl="0" w:tplc="29F87FD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72208"/>
    <w:multiLevelType w:val="hybridMultilevel"/>
    <w:tmpl w:val="F07EDB2A"/>
    <w:lvl w:ilvl="0" w:tplc="85C42252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6AAF"/>
    <w:multiLevelType w:val="hybridMultilevel"/>
    <w:tmpl w:val="EABA6B80"/>
    <w:lvl w:ilvl="0" w:tplc="A56A5EA2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4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065"/>
    <w:multiLevelType w:val="hybridMultilevel"/>
    <w:tmpl w:val="5C000656"/>
    <w:lvl w:ilvl="0" w:tplc="747A0846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2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8"/>
  </w:num>
  <w:num w:numId="2" w16cid:durableId="95290780">
    <w:abstractNumId w:val="29"/>
  </w:num>
  <w:num w:numId="3" w16cid:durableId="1816526987">
    <w:abstractNumId w:val="29"/>
  </w:num>
  <w:num w:numId="4" w16cid:durableId="205683780">
    <w:abstractNumId w:val="25"/>
  </w:num>
  <w:num w:numId="5" w16cid:durableId="2029405519">
    <w:abstractNumId w:val="29"/>
  </w:num>
  <w:num w:numId="6" w16cid:durableId="1751584299">
    <w:abstractNumId w:val="19"/>
  </w:num>
  <w:num w:numId="7" w16cid:durableId="1466193624">
    <w:abstractNumId w:val="5"/>
  </w:num>
  <w:num w:numId="8" w16cid:durableId="1354263799">
    <w:abstractNumId w:val="23"/>
  </w:num>
  <w:num w:numId="9" w16cid:durableId="263081017">
    <w:abstractNumId w:val="29"/>
  </w:num>
  <w:num w:numId="10" w16cid:durableId="629483242">
    <w:abstractNumId w:val="17"/>
  </w:num>
  <w:num w:numId="11" w16cid:durableId="1610814189">
    <w:abstractNumId w:val="52"/>
  </w:num>
  <w:num w:numId="12" w16cid:durableId="1204291716">
    <w:abstractNumId w:val="31"/>
  </w:num>
  <w:num w:numId="13" w16cid:durableId="149761933">
    <w:abstractNumId w:val="30"/>
  </w:num>
  <w:num w:numId="14" w16cid:durableId="1461917896">
    <w:abstractNumId w:val="20"/>
  </w:num>
  <w:num w:numId="15" w16cid:durableId="1920746482">
    <w:abstractNumId w:val="40"/>
  </w:num>
  <w:num w:numId="16" w16cid:durableId="195393126">
    <w:abstractNumId w:val="24"/>
  </w:num>
  <w:num w:numId="17" w16cid:durableId="797602385">
    <w:abstractNumId w:val="47"/>
  </w:num>
  <w:num w:numId="18" w16cid:durableId="11152483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3"/>
  </w:num>
  <w:num w:numId="25" w16cid:durableId="1361128795">
    <w:abstractNumId w:val="11"/>
  </w:num>
  <w:num w:numId="26" w16cid:durableId="2550970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6"/>
  </w:num>
  <w:num w:numId="28" w16cid:durableId="1777942181">
    <w:abstractNumId w:val="12"/>
  </w:num>
  <w:num w:numId="29" w16cid:durableId="847980745">
    <w:abstractNumId w:val="43"/>
  </w:num>
  <w:num w:numId="30" w16cid:durableId="2016954013">
    <w:abstractNumId w:val="14"/>
  </w:num>
  <w:num w:numId="31" w16cid:durableId="1509828543">
    <w:abstractNumId w:val="0"/>
  </w:num>
  <w:num w:numId="32" w16cid:durableId="693919460">
    <w:abstractNumId w:val="49"/>
  </w:num>
  <w:num w:numId="33" w16cid:durableId="221407022">
    <w:abstractNumId w:val="35"/>
  </w:num>
  <w:num w:numId="34" w16cid:durableId="1056205495">
    <w:abstractNumId w:val="39"/>
  </w:num>
  <w:num w:numId="35" w16cid:durableId="2043943089">
    <w:abstractNumId w:val="10"/>
  </w:num>
  <w:num w:numId="36" w16cid:durableId="1041517610">
    <w:abstractNumId w:val="27"/>
  </w:num>
  <w:num w:numId="37" w16cid:durableId="1208450931">
    <w:abstractNumId w:val="29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32"/>
  </w:num>
  <w:num w:numId="40" w16cid:durableId="340933328">
    <w:abstractNumId w:val="22"/>
  </w:num>
  <w:num w:numId="41" w16cid:durableId="1795169588">
    <w:abstractNumId w:val="13"/>
  </w:num>
  <w:num w:numId="42" w16cid:durableId="1733582914">
    <w:abstractNumId w:val="16"/>
  </w:num>
  <w:num w:numId="43" w16cid:durableId="2002156447">
    <w:abstractNumId w:val="9"/>
  </w:num>
  <w:num w:numId="44" w16cid:durableId="1710815">
    <w:abstractNumId w:val="51"/>
  </w:num>
  <w:num w:numId="45" w16cid:durableId="1212154579">
    <w:abstractNumId w:val="7"/>
  </w:num>
  <w:num w:numId="46" w16cid:durableId="1387491283">
    <w:abstractNumId w:val="46"/>
  </w:num>
  <w:num w:numId="47" w16cid:durableId="45497059">
    <w:abstractNumId w:val="36"/>
  </w:num>
  <w:num w:numId="48" w16cid:durableId="856968178">
    <w:abstractNumId w:val="48"/>
  </w:num>
  <w:num w:numId="49" w16cid:durableId="273902324">
    <w:abstractNumId w:val="34"/>
  </w:num>
  <w:num w:numId="50" w16cid:durableId="1160315046">
    <w:abstractNumId w:val="18"/>
  </w:num>
  <w:num w:numId="51" w16cid:durableId="503593623">
    <w:abstractNumId w:val="44"/>
  </w:num>
  <w:num w:numId="52" w16cid:durableId="358044878">
    <w:abstractNumId w:val="1"/>
  </w:num>
  <w:num w:numId="53" w16cid:durableId="407657918">
    <w:abstractNumId w:val="4"/>
  </w:num>
  <w:num w:numId="54" w16cid:durableId="272789654">
    <w:abstractNumId w:val="29"/>
    <w:lvlOverride w:ilvl="0">
      <w:startOverride w:val="1"/>
    </w:lvlOverride>
    <w:lvlOverride w:ilvl="1">
      <w:startOverride w:val="1"/>
    </w:lvlOverride>
  </w:num>
  <w:num w:numId="55" w16cid:durableId="730542902">
    <w:abstractNumId w:val="15"/>
  </w:num>
  <w:num w:numId="56" w16cid:durableId="1287272213">
    <w:abstractNumId w:val="29"/>
  </w:num>
  <w:num w:numId="57" w16cid:durableId="901984481">
    <w:abstractNumId w:val="50"/>
  </w:num>
  <w:num w:numId="58" w16cid:durableId="360522064">
    <w:abstractNumId w:val="29"/>
  </w:num>
  <w:num w:numId="59" w16cid:durableId="239557500">
    <w:abstractNumId w:val="45"/>
  </w:num>
  <w:num w:numId="60" w16cid:durableId="213935432">
    <w:abstractNumId w:val="26"/>
  </w:num>
  <w:num w:numId="61" w16cid:durableId="1969435461">
    <w:abstractNumId w:val="8"/>
  </w:num>
  <w:num w:numId="62" w16cid:durableId="1963804499">
    <w:abstractNumId w:val="3"/>
  </w:num>
  <w:num w:numId="63" w16cid:durableId="272783445">
    <w:abstractNumId w:val="42"/>
  </w:num>
  <w:num w:numId="64" w16cid:durableId="2123063754">
    <w:abstractNumId w:val="21"/>
  </w:num>
  <w:num w:numId="65" w16cid:durableId="580338440">
    <w:abstractNumId w:val="28"/>
  </w:num>
  <w:num w:numId="66" w16cid:durableId="737556559">
    <w:abstractNumId w:val="41"/>
  </w:num>
  <w:num w:numId="67" w16cid:durableId="1444612001">
    <w:abstractNumId w:val="37"/>
  </w:num>
  <w:num w:numId="68" w16cid:durableId="1741249220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5B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4D1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A3C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4F2B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BE5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3F09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063E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9B1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3C"/>
    <w:rsid w:val="001768BA"/>
    <w:rsid w:val="00177418"/>
    <w:rsid w:val="001804CA"/>
    <w:rsid w:val="001805F0"/>
    <w:rsid w:val="0018074A"/>
    <w:rsid w:val="00180F10"/>
    <w:rsid w:val="0018137F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22ED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C2C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0DB5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036"/>
    <w:rsid w:val="001C773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67D83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382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542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E44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56F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3BA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4A8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71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792"/>
    <w:rsid w:val="003B5702"/>
    <w:rsid w:val="003B589B"/>
    <w:rsid w:val="003B61FA"/>
    <w:rsid w:val="003B6699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A5"/>
    <w:rsid w:val="00453A25"/>
    <w:rsid w:val="00453C6B"/>
    <w:rsid w:val="0045428E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0C9E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0D0F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391C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C85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1D4"/>
    <w:rsid w:val="005A6905"/>
    <w:rsid w:val="005A72C9"/>
    <w:rsid w:val="005A7B5B"/>
    <w:rsid w:val="005B051A"/>
    <w:rsid w:val="005B0A7B"/>
    <w:rsid w:val="005B0CE7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37FE2"/>
    <w:rsid w:val="0064017A"/>
    <w:rsid w:val="00640952"/>
    <w:rsid w:val="006409E5"/>
    <w:rsid w:val="00640A75"/>
    <w:rsid w:val="00640B3F"/>
    <w:rsid w:val="00640B8F"/>
    <w:rsid w:val="00640C60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DBE"/>
    <w:rsid w:val="00657EAD"/>
    <w:rsid w:val="006601D6"/>
    <w:rsid w:val="0066052B"/>
    <w:rsid w:val="006610B3"/>
    <w:rsid w:val="00661D37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5706"/>
    <w:rsid w:val="0068612D"/>
    <w:rsid w:val="00686904"/>
    <w:rsid w:val="0068693E"/>
    <w:rsid w:val="00686F12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5AE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3DC9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A5D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DC4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65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35A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CB1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6F6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8C0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D9F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1DB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2802"/>
    <w:rsid w:val="0089300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09B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5993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1BC"/>
    <w:rsid w:val="008F786F"/>
    <w:rsid w:val="008F790B"/>
    <w:rsid w:val="008F7B67"/>
    <w:rsid w:val="009003E0"/>
    <w:rsid w:val="00900752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6C77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5B1B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A2C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73F"/>
    <w:rsid w:val="00991B32"/>
    <w:rsid w:val="009920C9"/>
    <w:rsid w:val="00992444"/>
    <w:rsid w:val="0099276C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1D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2CFB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8A2"/>
    <w:rsid w:val="00A10FA7"/>
    <w:rsid w:val="00A11038"/>
    <w:rsid w:val="00A11590"/>
    <w:rsid w:val="00A119D5"/>
    <w:rsid w:val="00A11B3C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AA7"/>
    <w:rsid w:val="00A47B0C"/>
    <w:rsid w:val="00A47F9E"/>
    <w:rsid w:val="00A50556"/>
    <w:rsid w:val="00A5129E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48E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1D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501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1D4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916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4560E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234"/>
    <w:rsid w:val="00B95AF5"/>
    <w:rsid w:val="00B95CB6"/>
    <w:rsid w:val="00B96495"/>
    <w:rsid w:val="00B96727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2DBA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774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95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B8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8BC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5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1429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397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8E4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678"/>
    <w:rsid w:val="00CF3783"/>
    <w:rsid w:val="00CF40E5"/>
    <w:rsid w:val="00CF5814"/>
    <w:rsid w:val="00CF5BC6"/>
    <w:rsid w:val="00CF5D0F"/>
    <w:rsid w:val="00CF6420"/>
    <w:rsid w:val="00D00122"/>
    <w:rsid w:val="00D00DA5"/>
    <w:rsid w:val="00D01BA8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61B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5ABD"/>
    <w:rsid w:val="00D460C0"/>
    <w:rsid w:val="00D46955"/>
    <w:rsid w:val="00D46A8A"/>
    <w:rsid w:val="00D4708C"/>
    <w:rsid w:val="00D47411"/>
    <w:rsid w:val="00D47836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2FD8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08"/>
    <w:rsid w:val="00D917A5"/>
    <w:rsid w:val="00D9262C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55F"/>
    <w:rsid w:val="00DD2A49"/>
    <w:rsid w:val="00DD2C90"/>
    <w:rsid w:val="00DD2F67"/>
    <w:rsid w:val="00DD3CA2"/>
    <w:rsid w:val="00DD496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996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7B63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5D2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4BB3"/>
    <w:rsid w:val="00EC5021"/>
    <w:rsid w:val="00EC54FF"/>
    <w:rsid w:val="00EC5715"/>
    <w:rsid w:val="00EC57A5"/>
    <w:rsid w:val="00EC5C75"/>
    <w:rsid w:val="00EC5E06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F9A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275B"/>
    <w:rsid w:val="00F4356B"/>
    <w:rsid w:val="00F43A70"/>
    <w:rsid w:val="00F44D5F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67250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915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D5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3B9"/>
    <w:rsid w:val="00FF3732"/>
    <w:rsid w:val="00FF3B82"/>
    <w:rsid w:val="00FF3DD0"/>
    <w:rsid w:val="00FF40C5"/>
    <w:rsid w:val="00FF48DC"/>
    <w:rsid w:val="00FF4B01"/>
    <w:rsid w:val="00FF4ECC"/>
    <w:rsid w:val="00FF5176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15OPMSMT0001-78-14529</_dlc_DocId>
    <_dlc_DocIdUrl xmlns="0104a4cd-1400-468e-be1b-c7aad71d7d5a">
      <Url>https://op.msmt.cz/_layouts/15/DocIdRedir.aspx?ID=15OPMSMT0001-78-14529</Url>
      <Description>15OPMSMT0001-78-14529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334B4-6FCB-4772-ADB7-CA79F7CD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5850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2</cp:revision>
  <cp:lastPrinted>2018-09-07T10:50:00Z</cp:lastPrinted>
  <dcterms:created xsi:type="dcterms:W3CDTF">2022-08-01T13:16:00Z</dcterms:created>
  <dcterms:modified xsi:type="dcterms:W3CDTF">2022-08-01T13:16:00Z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f5a714d4-196e-4560-9e8d-684178a11870</vt:lpwstr>
  </property>
  <property fmtid="{D5CDD505-2E9C-101B-9397-08002B2CF9AE}" pid="4" name="Komentář">
    <vt:lpwstr>Zveřejněno na webu 28/11/2017</vt:lpwstr>
  </property>
</Properties>
</file>