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C1004C">
        <w:rPr>
          <w:highlight w:val="lightGray"/>
        </w:rPr>
        <w:t>………</w:t>
      </w:r>
      <w:proofErr w:type="gramStart"/>
      <w:r w:rsidR="00572BC5" w:rsidRPr="00C1004C">
        <w:rPr>
          <w:highlight w:val="lightGray"/>
        </w:rPr>
        <w:t>…….</w:t>
      </w:r>
      <w:proofErr w:type="gramEnd"/>
      <w:r w:rsidR="00572BC5" w:rsidRPr="00C1004C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DA0C87">
        <w:rPr>
          <w:b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46504F62" w:rsidR="00BF6D36" w:rsidRDefault="00572BC5" w:rsidP="00D0361A">
      <w:pPr>
        <w:spacing w:after="24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FA7AA5" w:rsidRPr="00246370">
        <w:rPr>
          <w:rFonts w:eastAsia="Arial" w:cstheme="minorHAnsi"/>
          <w:lang w:eastAsia="cs-CZ" w:bidi="cs-CZ"/>
        </w:rPr>
        <w:t>02_2</w:t>
      </w:r>
      <w:r w:rsidR="00FA7AA5">
        <w:rPr>
          <w:rFonts w:eastAsia="Arial" w:cstheme="minorHAnsi"/>
          <w:lang w:eastAsia="cs-CZ" w:bidi="cs-CZ"/>
        </w:rPr>
        <w:t>2_006</w:t>
      </w:r>
      <w:r w:rsidR="00797732">
        <w:t xml:space="preserve"> s názvem </w:t>
      </w:r>
      <w:r w:rsidR="00FA7AA5">
        <w:t>Špičkový výzkum</w:t>
      </w:r>
      <w:r w:rsidR="00EE6B44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802141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802141">
        <w:rPr>
          <w:spacing w:val="-4"/>
        </w:rPr>
        <w:t>pravid</w:t>
      </w:r>
      <w:r w:rsidR="00BB3E64" w:rsidRPr="00802141">
        <w:rPr>
          <w:spacing w:val="-4"/>
        </w:rPr>
        <w:t>e</w:t>
      </w:r>
      <w:r w:rsidRPr="00802141">
        <w:rPr>
          <w:spacing w:val="-4"/>
        </w:rPr>
        <w:t>l</w:t>
      </w:r>
      <w:r w:rsidRPr="00C1004C">
        <w:t xml:space="preserve"> </w:t>
      </w:r>
      <w:r w:rsidR="00792B6D" w:rsidRPr="00C1004C">
        <w:t>a</w:t>
      </w:r>
      <w:r w:rsidR="005A47B1" w:rsidRPr="00C1004C">
        <w:t> </w:t>
      </w:r>
      <w:r w:rsidR="00792B6D" w:rsidRPr="00C1004C">
        <w:t>podle zákona č. 130/2002 Sb., o podpoře výzkumu</w:t>
      </w:r>
      <w:r w:rsidR="00E71084" w:rsidRPr="00C1004C">
        <w:t xml:space="preserve"> a vývoje</w:t>
      </w:r>
      <w:r w:rsidR="00792B6D" w:rsidRPr="00C1004C">
        <w:t xml:space="preserve"> z</w:t>
      </w:r>
      <w:r w:rsidR="00417433" w:rsidRPr="00C1004C">
        <w:t> </w:t>
      </w:r>
      <w:r w:rsidR="00792B6D" w:rsidRPr="00C1004C">
        <w:t>veřejných prostředků a o změně některých souvisejících zákonů (zákon o podpoře výzkumu</w:t>
      </w:r>
      <w:r w:rsidR="00E71084" w:rsidRPr="00C1004C">
        <w:t xml:space="preserve"> a vývoje</w:t>
      </w:r>
      <w:r w:rsidR="00792B6D" w:rsidRPr="00C1004C">
        <w:t>)</w:t>
      </w:r>
      <w:r w:rsidR="00093D3F" w:rsidRPr="00C1004C">
        <w:t>,</w:t>
      </w:r>
      <w:r w:rsidR="00792B6D" w:rsidRPr="00C1004C">
        <w:t xml:space="preserve"> ve znění pozdějších předpisů</w:t>
      </w:r>
      <w:r w:rsidR="00792B6D" w:rsidRPr="00802141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C1004C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D0361A">
      <w:pPr>
        <w:spacing w:before="12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 w:rsidRPr="00DA0C87">
        <w:rPr>
          <w:rStyle w:val="Znakapoznpodarou"/>
          <w:highlight w:val="lightGray"/>
        </w:rPr>
        <w:footnoteReference w:id="2"/>
      </w:r>
      <w:r w:rsidR="001C0B54">
        <w:t>.</w:t>
      </w:r>
    </w:p>
    <w:p w14:paraId="3F6AD896" w14:textId="42F2E890" w:rsidR="006B2014" w:rsidRDefault="00BF6D36" w:rsidP="00D0361A">
      <w:pPr>
        <w:spacing w:before="240" w:after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776D1D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776D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AA1CE2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7F832C45" w:rsidR="001C0B54" w:rsidRDefault="000E114A" w:rsidP="001C0B54">
      <w:r>
        <w:t>Účelem dotace je</w:t>
      </w:r>
      <w:r w:rsidR="00F677DF" w:rsidRPr="00F677DF">
        <w:t xml:space="preserve"> tvorba/rozvoj špičkového výzkumného týmu a realizace naplánovaných výzkumných záměrů.</w:t>
      </w:r>
      <w:r w:rsidR="00F677DF">
        <w:t xml:space="preserve"> </w:t>
      </w:r>
    </w:p>
    <w:p w14:paraId="51E421B6" w14:textId="4A5D8BDF" w:rsidR="001C0B54" w:rsidRDefault="001C0B54" w:rsidP="00B2337E">
      <w:pPr>
        <w:contextualSpacing/>
      </w:pPr>
      <w:r>
        <w:t xml:space="preserve">(dále jen „účel dotace“). </w:t>
      </w:r>
    </w:p>
    <w:p w14:paraId="37EE3276" w14:textId="77777777" w:rsidR="001C0B54" w:rsidRDefault="001C0B54" w:rsidP="00D0361A">
      <w:pPr>
        <w:spacing w:after="0"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72EDB654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05C2E" w:rsidRPr="00F219FF">
        <w:rPr>
          <w:highlight w:val="lightGray"/>
        </w:rPr>
        <w:t>…</w:t>
      </w:r>
      <w:r w:rsidR="00F219FF">
        <w:t xml:space="preserve"> </w:t>
      </w:r>
      <w:r w:rsidRPr="00F219FF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A805C2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50AEE10" w14:textId="03B8B74B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A805C2">
        <w:tc>
          <w:tcPr>
            <w:tcW w:w="5103" w:type="dxa"/>
            <w:vAlign w:val="center"/>
          </w:tcPr>
          <w:p w14:paraId="5AF1A089" w14:textId="77D9554D" w:rsidR="00B70991" w:rsidRDefault="005E4F44" w:rsidP="00A805C2">
            <w:pPr>
              <w:pStyle w:val="Tabulkatext"/>
              <w:spacing w:before="60" w:after="60"/>
            </w:pPr>
            <w:r w:rsidRPr="00DA0C87">
              <w:t>z toho z Evropského fondu pro regionální rozvoj</w:t>
            </w:r>
            <w:r w:rsidR="006C5D36" w:rsidRPr="00DA0C87">
              <w:t xml:space="preserve"> (dále jen „EFRR“)</w:t>
            </w:r>
            <w:r w:rsidRPr="00DA0C87">
              <w:t>,</w:t>
            </w:r>
            <w:r w:rsidRPr="00347CB3">
              <w:t xml:space="preserve"> </w:t>
            </w:r>
          </w:p>
          <w:p w14:paraId="4F05E183" w14:textId="0CB9F3BB" w:rsidR="005E4F44" w:rsidRPr="00347CB3" w:rsidRDefault="005E4F44" w:rsidP="00A805C2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77777777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9BE8D7A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7" w14:textId="4FC7DCE2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9" w14:textId="2D07AF86" w:rsidR="005E4F44" w:rsidRPr="004847F3" w:rsidRDefault="005E4F44" w:rsidP="00A805C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</w:tbl>
    <w:p w14:paraId="4F05E1A2" w14:textId="506D8D94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1004C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1004C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5B7AC3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 xml:space="preserve">. </w:t>
      </w:r>
    </w:p>
    <w:p w14:paraId="4F05E1A5" w14:textId="271E79BB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 xml:space="preserve">Režim financování projektu </w:t>
      </w:r>
      <w:r w:rsidR="0012036E">
        <w:rPr>
          <w:b w:val="0"/>
        </w:rPr>
        <w:t>ex-ante</w:t>
      </w:r>
      <w:r w:rsidRPr="0041292C">
        <w:rPr>
          <w:b w:val="0"/>
        </w:rPr>
        <w:t>.</w:t>
      </w:r>
    </w:p>
    <w:p w14:paraId="4F05E1B3" w14:textId="1A50AE10" w:rsidR="0078756E" w:rsidRPr="00784A00" w:rsidRDefault="00CF1ACB" w:rsidP="00DA0C87">
      <w:pPr>
        <w:pStyle w:val="Headline2proTP"/>
        <w:spacing w:before="120" w:after="0"/>
        <w:ind w:left="425" w:hanging="425"/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8444F9" w:rsidRPr="00E16317">
        <w:t>7</w:t>
      </w:r>
      <w:r w:rsidR="00EE6B44">
        <w:rPr>
          <w:bCs/>
        </w:rPr>
        <w:t xml:space="preserve"> </w:t>
      </w:r>
      <w:r w:rsidR="00432FF9" w:rsidRPr="00E16317">
        <w:t>%</w:t>
      </w:r>
      <w:r w:rsidR="00432FF9" w:rsidRPr="0041292C">
        <w:rPr>
          <w:b w:val="0"/>
        </w:rPr>
        <w:t>.</w:t>
      </w:r>
      <w:r w:rsidR="00E16317">
        <w:rPr>
          <w:b w:val="0"/>
        </w:rPr>
        <w:t xml:space="preserve"> </w:t>
      </w:r>
      <w:r w:rsidR="008444F9" w:rsidRPr="00DA0C87">
        <w:rPr>
          <w:b w:val="0"/>
        </w:rPr>
        <w:t>S</w:t>
      </w:r>
      <w:r w:rsidR="002863F2" w:rsidRPr="00DA0C87">
        <w:rPr>
          <w:b w:val="0"/>
        </w:rPr>
        <w:t xml:space="preserve">kutečná výše způsobilých paušálních nákladů se rovná součinu paušální sazby a skutečně vynaložených a schválených </w:t>
      </w:r>
      <w:r w:rsidR="00D274D1" w:rsidRPr="00DA0C87">
        <w:rPr>
          <w:b w:val="0"/>
        </w:rPr>
        <w:t xml:space="preserve">výdajů </w:t>
      </w:r>
      <w:r w:rsidR="00CE6E47" w:rsidRPr="00DA0C87">
        <w:rPr>
          <w:b w:val="0"/>
        </w:rPr>
        <w:t>tvořících základ pro</w:t>
      </w:r>
      <w:r w:rsidR="001B272F" w:rsidRPr="00DA0C87">
        <w:rPr>
          <w:b w:val="0"/>
        </w:rPr>
        <w:t> </w:t>
      </w:r>
      <w:r w:rsidR="00CE6E47" w:rsidRPr="00DA0C87">
        <w:rPr>
          <w:b w:val="0"/>
        </w:rPr>
        <w:t xml:space="preserve">výpočet paušálních </w:t>
      </w:r>
      <w:r w:rsidR="00D274D1" w:rsidRPr="00DA0C87">
        <w:rPr>
          <w:b w:val="0"/>
        </w:rPr>
        <w:t xml:space="preserve">nákladů </w:t>
      </w:r>
      <w:r w:rsidR="00CE6E47" w:rsidRPr="00DA0C87">
        <w:rPr>
          <w:b w:val="0"/>
        </w:rPr>
        <w:t>(tj.</w:t>
      </w:r>
      <w:r w:rsidR="008C1CBD" w:rsidRPr="00DA0C87">
        <w:rPr>
          <w:b w:val="0"/>
        </w:rPr>
        <w:t xml:space="preserve"> sumy výdajů uvedených v kategorii rozpočtu 1.1.1</w:t>
      </w:r>
      <w:r w:rsidR="00CE6E47" w:rsidRPr="00DA0C87">
        <w:rPr>
          <w:b w:val="0"/>
        </w:rPr>
        <w:t>)</w:t>
      </w:r>
      <w:r w:rsidR="002863F2" w:rsidRPr="00DA0C87">
        <w:rPr>
          <w:b w:val="0"/>
        </w:rPr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lastRenderedPageBreak/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A0C87">
        <w:rPr>
          <w:b w:val="0"/>
          <w:bCs/>
          <w:vertAlign w:val="superscript"/>
        </w:rPr>
        <w:footnoteReference w:id="6"/>
      </w:r>
      <w:r w:rsidRPr="00EE6B44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20BDF2D8" w14:textId="77777777" w:rsidR="003C7C53" w:rsidRDefault="00B8281E" w:rsidP="003C7C53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color w:val="080808"/>
        </w:rPr>
      </w:pPr>
      <w:r w:rsidRPr="00CC09D5">
        <w:rPr>
          <w:b w:val="0"/>
          <w:color w:val="080808"/>
        </w:rPr>
        <w:t>Příjemce je povinen</w:t>
      </w:r>
      <w:r w:rsidR="00030703" w:rsidRPr="00CC09D5">
        <w:rPr>
          <w:b w:val="0"/>
          <w:color w:val="080808"/>
        </w:rPr>
        <w:t xml:space="preserve"> zajistit udržitelnost projektu </w:t>
      </w:r>
      <w:r w:rsidR="00030703" w:rsidRPr="00961922">
        <w:rPr>
          <w:b w:val="0"/>
          <w:color w:val="080808"/>
          <w:highlight w:val="lightGray"/>
        </w:rPr>
        <w:t xml:space="preserve">v souladu s </w:t>
      </w:r>
      <w:r w:rsidRPr="00961922">
        <w:rPr>
          <w:b w:val="0"/>
          <w:highlight w:val="lightGray"/>
        </w:rPr>
        <w:t xml:space="preserve">čl. </w:t>
      </w:r>
      <w:r w:rsidR="00FD4696" w:rsidRPr="00961922">
        <w:rPr>
          <w:b w:val="0"/>
          <w:highlight w:val="lightGray"/>
        </w:rPr>
        <w:t>65</w:t>
      </w:r>
      <w:r w:rsidRPr="00961922">
        <w:rPr>
          <w:b w:val="0"/>
          <w:highlight w:val="lightGray"/>
        </w:rPr>
        <w:t xml:space="preserve"> Nařízení Evropského parlamentu a Rady (EU) č. </w:t>
      </w:r>
      <w:r w:rsidR="00FA1CE2" w:rsidRPr="00961922">
        <w:rPr>
          <w:b w:val="0"/>
          <w:highlight w:val="lightGray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961922">
        <w:rPr>
          <w:b w:val="0"/>
          <w:highlight w:val="lightGray"/>
        </w:rPr>
        <w:t> </w:t>
      </w:r>
      <w:r w:rsidR="00FA1CE2" w:rsidRPr="00961922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961922" w:rsidDel="00FA1CE2">
        <w:rPr>
          <w:b w:val="0"/>
          <w:highlight w:val="lightGray"/>
        </w:rPr>
        <w:t xml:space="preserve"> </w:t>
      </w:r>
      <w:r w:rsidRPr="00961922">
        <w:rPr>
          <w:b w:val="0"/>
          <w:highlight w:val="lightGray"/>
        </w:rPr>
        <w:t>(dále jen „Obecné nařízení“)</w:t>
      </w:r>
      <w:r w:rsidR="00030703" w:rsidRPr="00961922">
        <w:rPr>
          <w:b w:val="0"/>
          <w:color w:val="080808"/>
          <w:highlight w:val="lightGray"/>
        </w:rPr>
        <w:t xml:space="preserve"> a</w:t>
      </w:r>
      <w:r w:rsidR="00011EA8">
        <w:rPr>
          <w:rStyle w:val="Znakapoznpodarou"/>
          <w:b w:val="0"/>
          <w:color w:val="080808"/>
          <w:highlight w:val="lightGray"/>
        </w:rPr>
        <w:footnoteReference w:id="7"/>
      </w:r>
      <w:r w:rsidR="00473D72">
        <w:rPr>
          <w:b w:val="0"/>
          <w:color w:val="080808"/>
        </w:rPr>
        <w:t> </w:t>
      </w:r>
      <w:r w:rsidR="007D34CD" w:rsidRPr="00CC09D5">
        <w:rPr>
          <w:b w:val="0"/>
          <w:color w:val="080808"/>
        </w:rPr>
        <w:t>v souladu s </w:t>
      </w:r>
      <w:r w:rsidRPr="00CC09D5">
        <w:rPr>
          <w:b w:val="0"/>
          <w:color w:val="080808"/>
        </w:rPr>
        <w:t>PpŽP</w:t>
      </w:r>
      <w:r w:rsidR="00EF367E" w:rsidRPr="00CC09D5">
        <w:rPr>
          <w:b w:val="0"/>
          <w:color w:val="080808"/>
        </w:rPr>
        <w:t>.</w:t>
      </w:r>
    </w:p>
    <w:p w14:paraId="4F05E1C2" w14:textId="6C9EBCCD" w:rsidR="00DE44DD" w:rsidRPr="003C7C53" w:rsidRDefault="003A4FE7" w:rsidP="003C7C53">
      <w:pPr>
        <w:pStyle w:val="Headline1proTP"/>
        <w:numPr>
          <w:ilvl w:val="1"/>
          <w:numId w:val="12"/>
        </w:numPr>
        <w:ind w:left="426" w:hanging="426"/>
        <w:jc w:val="both"/>
        <w:outlineLvl w:val="9"/>
        <w:rPr>
          <w:b w:val="0"/>
          <w:color w:val="080808"/>
        </w:rPr>
      </w:pPr>
      <w:r w:rsidRPr="003C7C53">
        <w:rPr>
          <w:b w:val="0"/>
        </w:rPr>
        <w:t xml:space="preserve">Příjemce </w:t>
      </w:r>
      <w:r w:rsidR="00BE4080" w:rsidRPr="003C7C53">
        <w:rPr>
          <w:b w:val="0"/>
        </w:rPr>
        <w:t>je povinen</w:t>
      </w:r>
      <w:r w:rsidR="00BE4080" w:rsidRPr="003C7C53">
        <w:rPr>
          <w:b w:val="0"/>
          <w:highlight w:val="lightGray"/>
        </w:rPr>
        <w:t>, sám nebo ve spolupráci s partnerem,</w:t>
      </w:r>
      <w:r w:rsidR="00121E5F">
        <w:rPr>
          <w:rStyle w:val="Znakapoznpodarou"/>
          <w:b w:val="0"/>
          <w:highlight w:val="lightGray"/>
        </w:rPr>
        <w:footnoteReference w:id="8"/>
      </w:r>
      <w:r w:rsidRPr="003C7C53">
        <w:rPr>
          <w:b w:val="0"/>
        </w:rPr>
        <w:t xml:space="preserve"> v době udržitelnosti</w:t>
      </w:r>
      <w:r w:rsidR="00BE4080" w:rsidRPr="003C7C53">
        <w:rPr>
          <w:b w:val="0"/>
        </w:rPr>
        <w:t xml:space="preserve">, nejdříve však po </w:t>
      </w:r>
      <w:r w:rsidR="00121E5F" w:rsidRPr="003C7C53">
        <w:rPr>
          <w:b w:val="0"/>
        </w:rPr>
        <w:t xml:space="preserve">uplynutí 12 měsíců </w:t>
      </w:r>
      <w:r w:rsidR="00BE4080" w:rsidRPr="003C7C53">
        <w:rPr>
          <w:b w:val="0"/>
        </w:rPr>
        <w:t xml:space="preserve">od </w:t>
      </w:r>
      <w:r w:rsidR="00121E5F" w:rsidRPr="003C7C53">
        <w:rPr>
          <w:b w:val="0"/>
        </w:rPr>
        <w:t xml:space="preserve">data </w:t>
      </w:r>
      <w:r w:rsidR="00BE4080" w:rsidRPr="003C7C53">
        <w:rPr>
          <w:b w:val="0"/>
        </w:rPr>
        <w:t>ukončení realizace projektu,</w:t>
      </w:r>
      <w:r w:rsidRPr="003C7C53">
        <w:rPr>
          <w:b w:val="0"/>
        </w:rPr>
        <w:t xml:space="preserve"> uspořádat</w:t>
      </w:r>
      <w:r w:rsidRPr="00DA0C87">
        <w:t xml:space="preserve"> </w:t>
      </w:r>
      <w:r w:rsidRPr="003C7C53">
        <w:rPr>
          <w:b w:val="0"/>
        </w:rPr>
        <w:t>dvě</w:t>
      </w:r>
      <w:r w:rsidRPr="00DA0C87">
        <w:t xml:space="preserve"> celodenní osvětové akce</w:t>
      </w:r>
      <w:r w:rsidRPr="003C7C53">
        <w:rPr>
          <w:b w:val="0"/>
        </w:rPr>
        <w:t xml:space="preserve">, </w:t>
      </w:r>
      <w:r w:rsidR="00BE4080" w:rsidRPr="003C7C53">
        <w:rPr>
          <w:b w:val="0"/>
        </w:rPr>
        <w:t>na nichž bude</w:t>
      </w:r>
      <w:r w:rsidRPr="003C7C53">
        <w:rPr>
          <w:b w:val="0"/>
        </w:rPr>
        <w:t xml:space="preserve"> </w:t>
      </w:r>
      <w:r w:rsidR="00121E5F" w:rsidRPr="003C7C53">
        <w:rPr>
          <w:b w:val="0"/>
        </w:rPr>
        <w:t xml:space="preserve">odbornou veřejnost </w:t>
      </w:r>
      <w:r w:rsidRPr="003C7C53">
        <w:rPr>
          <w:b w:val="0"/>
        </w:rPr>
        <w:t>informovat o dosažení cílů podpořeného projektu v době realizace</w:t>
      </w:r>
      <w:r w:rsidR="00121E5F" w:rsidRPr="003C7C53">
        <w:rPr>
          <w:b w:val="0"/>
        </w:rPr>
        <w:t xml:space="preserve"> </w:t>
      </w:r>
      <w:r w:rsidRPr="003C7C53">
        <w:rPr>
          <w:b w:val="0"/>
        </w:rPr>
        <w:t xml:space="preserve">a </w:t>
      </w:r>
      <w:r w:rsidR="00BE4080" w:rsidRPr="003C7C53">
        <w:rPr>
          <w:b w:val="0"/>
        </w:rPr>
        <w:t xml:space="preserve">o </w:t>
      </w:r>
      <w:r w:rsidRPr="003C7C53">
        <w:rPr>
          <w:b w:val="0"/>
        </w:rPr>
        <w:t>aktivitách</w:t>
      </w:r>
      <w:r w:rsidR="00BE4080" w:rsidRPr="003C7C53">
        <w:rPr>
          <w:b w:val="0"/>
        </w:rPr>
        <w:t xml:space="preserve"> </w:t>
      </w:r>
      <w:r w:rsidR="00575E60" w:rsidRPr="003C7C53">
        <w:rPr>
          <w:b w:val="0"/>
        </w:rPr>
        <w:t xml:space="preserve">projektu prováděných </w:t>
      </w:r>
      <w:r w:rsidRPr="003C7C53">
        <w:rPr>
          <w:b w:val="0"/>
        </w:rPr>
        <w:t xml:space="preserve">v době </w:t>
      </w:r>
      <w:r w:rsidR="00575E60" w:rsidRPr="003C7C53">
        <w:rPr>
          <w:b w:val="0"/>
        </w:rPr>
        <w:t xml:space="preserve">jeho </w:t>
      </w:r>
      <w:r w:rsidRPr="003C7C53">
        <w:rPr>
          <w:b w:val="0"/>
        </w:rPr>
        <w:t>udržitelnosti.</w:t>
      </w:r>
      <w:r w:rsidRPr="00DA0C87"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285F6987" w14:textId="796F8DD8" w:rsidR="00CF7C9D" w:rsidRDefault="002A1BDE" w:rsidP="00CF7C9D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rFonts w:cstheme="minorHAnsi"/>
          <w:b w:val="0"/>
        </w:rPr>
      </w:pPr>
      <w:bookmarkStart w:id="2" w:name="_Ref465174751"/>
      <w:bookmarkEnd w:id="1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8D35FA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796F8DD8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>
              <w:rPr>
                <w:rStyle w:val="Znakapoznpodarou"/>
                <w:rFonts w:eastAsiaTheme="minorHAnsi" w:cstheme="minorBidi"/>
                <w:b/>
                <w:sz w:val="22"/>
                <w:szCs w:val="22"/>
                <w:lang w:eastAsia="en-US"/>
              </w:rPr>
              <w:footnoteReference w:id="9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8D35FA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6131E041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8D35FA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517513A0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8D35FA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37EBE30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</w:t>
            </w:r>
            <w:r w:rsidR="00130B90" w:rsidRPr="007672E2">
              <w:rPr>
                <w:sz w:val="22"/>
                <w:szCs w:val="22"/>
              </w:rPr>
              <w:t xml:space="preserve"> 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4EDF5086" w14:textId="7F8E64AA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</w:p>
        </w:tc>
      </w:tr>
    </w:tbl>
    <w:p w14:paraId="161D9370" w14:textId="2968DBDB" w:rsidR="008D35FA" w:rsidRDefault="004B0911" w:rsidP="00C15104">
      <w:pPr>
        <w:pStyle w:val="Headline2proTP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63CA6833" w:rsidR="004B0911" w:rsidRPr="00EF1D6A" w:rsidRDefault="009A5536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EE3539">
        <w:rPr>
          <w:b w:val="0"/>
        </w:rPr>
        <w:t>P</w:t>
      </w:r>
      <w:r w:rsidR="00CA13E5">
        <w:rPr>
          <w:b w:val="0"/>
        </w:rPr>
        <w:t>oskytovateli</w:t>
      </w:r>
      <w:r w:rsidR="00EE3539">
        <w:rPr>
          <w:b w:val="0"/>
        </w:rPr>
        <w:t xml:space="preserve"> dotace</w:t>
      </w:r>
      <w:r w:rsidR="00CA13E5">
        <w:rPr>
          <w:b w:val="0"/>
        </w:rPr>
        <w:t xml:space="preserve">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EE3539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003C8CEB" w14:textId="695394B0" w:rsidR="00F91D89" w:rsidRDefault="00A760ED" w:rsidP="00F91D89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4</w:t>
      </w:r>
      <w:r w:rsidR="008D35FA">
        <w:rPr>
          <w:b w:val="0"/>
        </w:rPr>
        <w:tab/>
      </w:r>
      <w:r w:rsidRPr="00A760E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>
        <w:rPr>
          <w:b w:val="0"/>
        </w:rPr>
        <w:t xml:space="preserve"> </w:t>
      </w:r>
      <w:r w:rsidRPr="00A760ED">
        <w:rPr>
          <w:b w:val="0"/>
        </w:rPr>
        <w:lastRenderedPageBreak/>
        <w:t>investičních a neinvestičních výdajů pouze tehdy, pokud je vyplacení zálohy i změna provedena ve</w:t>
      </w:r>
      <w:r w:rsidR="001B272F">
        <w:rPr>
          <w:b w:val="0"/>
        </w:rPr>
        <w:t> </w:t>
      </w:r>
      <w:r w:rsidRPr="00A760ED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5C9C50D9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>použít dotaci 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</w:t>
      </w:r>
      <w:r w:rsidR="00873D54">
        <w:rPr>
          <w:b w:val="0"/>
        </w:rPr>
        <w:t> IS KP</w:t>
      </w:r>
      <w:r w:rsidR="002935ED">
        <w:rPr>
          <w:b w:val="0"/>
        </w:rPr>
        <w:t>21+</w:t>
      </w:r>
      <w:r w:rsidR="00AD351C" w:rsidRPr="002A1BDE">
        <w:rPr>
          <w:b w:val="0"/>
        </w:rPr>
        <w:t>.</w:t>
      </w:r>
      <w:bookmarkStart w:id="3" w:name="_Ref211603954"/>
    </w:p>
    <w:bookmarkEnd w:id="3"/>
    <w:p w14:paraId="4F05E1DA" w14:textId="60A04B87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dotace </w:t>
      </w:r>
      <w:r w:rsidR="00D273DB" w:rsidRPr="00DA0C87">
        <w:rPr>
          <w:b w:val="0"/>
        </w:rPr>
        <w:t>a udržitelnost projektu</w:t>
      </w:r>
      <w:r w:rsidR="00DA1279" w:rsidRPr="00A805C2">
        <w:rPr>
          <w:b w:val="0"/>
        </w:rPr>
        <w:t>.</w:t>
      </w:r>
    </w:p>
    <w:p w14:paraId="4F05E1DB" w14:textId="3A3C3F6B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53F4C80C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54EBA511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</w:t>
      </w:r>
      <w:r w:rsidR="005545D4">
        <w:rPr>
          <w:b w:val="0"/>
        </w:rPr>
        <w:t xml:space="preserve">ve zprávách projektu </w:t>
      </w:r>
      <w:r w:rsidR="004717EE">
        <w:rPr>
          <w:b w:val="0"/>
        </w:rPr>
        <w:t xml:space="preserve">dle PpŽP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32DD4F7D" w:rsidR="005D1B51" w:rsidRPr="00F21443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  <w:r w:rsidR="005545D4">
        <w:rPr>
          <w:b w:val="0"/>
        </w:rPr>
        <w:t xml:space="preserve"> a to do data ukončení fyzické realizace projektu,</w:t>
      </w:r>
    </w:p>
    <w:p w14:paraId="1D18A5FC" w14:textId="36F724AF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="005545D4">
        <w:rPr>
          <w:b w:val="0"/>
        </w:rPr>
        <w:t xml:space="preserve">, a to do data ukončení fyzické realizace projektu, není-li v Příloze č. 1 </w:t>
      </w:r>
      <w:r w:rsidR="00F21274">
        <w:rPr>
          <w:b w:val="0"/>
        </w:rPr>
        <w:t xml:space="preserve">tohoto Rozhodnutí </w:t>
      </w:r>
      <w:r w:rsidR="005545D4">
        <w:rPr>
          <w:b w:val="0"/>
        </w:rPr>
        <w:t>u konkrétních indikátorů výsledku uvedeno jinak</w:t>
      </w:r>
      <w:r w:rsidRPr="00514182">
        <w:rPr>
          <w:b w:val="0"/>
        </w:rPr>
        <w:t>.</w:t>
      </w:r>
    </w:p>
    <w:p w14:paraId="0B6792F8" w14:textId="339EF95F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5545D4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91077">
        <w:rPr>
          <w:rFonts w:cs="Arial"/>
        </w:rPr>
        <w:t>8</w:t>
      </w:r>
      <w:r w:rsidR="009710E6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5FA9922A" w:rsidR="001E71C1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BC7CE2">
        <w:rPr>
          <w:b w:val="0"/>
        </w:rPr>
        <w:t xml:space="preserve">, </w:t>
      </w:r>
      <w:r w:rsidR="00D04EC4">
        <w:rPr>
          <w:b w:val="0"/>
        </w:rPr>
        <w:t xml:space="preserve">informace </w:t>
      </w:r>
      <w:r w:rsidR="0027292F">
        <w:rPr>
          <w:b w:val="0"/>
        </w:rPr>
        <w:t xml:space="preserve">o </w:t>
      </w:r>
      <w:r w:rsidR="00D04EC4">
        <w:rPr>
          <w:b w:val="0"/>
        </w:rPr>
        <w:t>projektu</w:t>
      </w:r>
      <w:r w:rsidR="00BC7CE2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555CB4">
        <w:rPr>
          <w:b w:val="0"/>
        </w:rPr>
        <w:t xml:space="preserve">Příjemce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2D726845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>nebo informace o projektu</w:t>
      </w:r>
      <w:r w:rsidRPr="0052678F">
        <w:rPr>
          <w:b w:val="0"/>
        </w:rPr>
        <w:t xml:space="preserve"> či žádost o platbu jsou neúplné nebo obsahují formální nedostatky, je </w:t>
      </w:r>
      <w:r w:rsidR="000C5A70">
        <w:rPr>
          <w:b w:val="0"/>
        </w:rPr>
        <w:t xml:space="preserve">ji </w:t>
      </w:r>
      <w:r>
        <w:rPr>
          <w:b w:val="0"/>
        </w:rPr>
        <w:t>P</w:t>
      </w:r>
      <w:r w:rsidRPr="0052678F">
        <w:rPr>
          <w:b w:val="0"/>
        </w:rPr>
        <w:t>říjemce povinen doplnit nebo opravit 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="009258FF">
        <w:rPr>
          <w:b w:val="0"/>
        </w:rPr>
        <w:t xml:space="preserve"> dle podmínek stanovených v PpŽP</w:t>
      </w:r>
      <w:r w:rsidRPr="00CD68D0">
        <w:rPr>
          <w:b w:val="0"/>
          <w:i/>
        </w:rPr>
        <w:t>.</w:t>
      </w:r>
      <w:bookmarkEnd w:id="6"/>
    </w:p>
    <w:p w14:paraId="719647BD" w14:textId="21DF2C58" w:rsidR="00D0361A" w:rsidRPr="00F91D89" w:rsidRDefault="001E71C1" w:rsidP="00F91D89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požádat </w:t>
      </w:r>
      <w:r w:rsidR="00EE35F1">
        <w:rPr>
          <w:b w:val="0"/>
        </w:rPr>
        <w:t>P</w:t>
      </w:r>
      <w:r w:rsidRPr="002826D8">
        <w:rPr>
          <w:b w:val="0"/>
        </w:rPr>
        <w:t xml:space="preserve">říjemce o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8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t>Oznamovací povinnost</w:t>
      </w:r>
      <w:bookmarkEnd w:id="9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01A810D4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 projektu, která je podle PpŽP tzv. informací k projektu, je Příjemce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2A958561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1B272F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F20370D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1" w:name="_Ref456361390"/>
      <w:bookmarkStart w:id="12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1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0D82AC09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1B272F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456361668"/>
      <w:bookmarkEnd w:id="12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3"/>
    </w:p>
    <w:p w14:paraId="4F05E1F4" w14:textId="5178D767" w:rsidR="00A82302" w:rsidRPr="00CC09D5" w:rsidRDefault="00A82302" w:rsidP="00DA0C87">
      <w:pPr>
        <w:pStyle w:val="pf0"/>
        <w:jc w:val="both"/>
        <w:rPr>
          <w:szCs w:val="32"/>
        </w:rPr>
      </w:pPr>
      <w:r w:rsidRPr="00DA0C87">
        <w:rPr>
          <w:rFonts w:ascii="Calibri" w:hAnsi="Calibri"/>
          <w:sz w:val="22"/>
          <w:szCs w:val="32"/>
        </w:rPr>
        <w:t>Při realizaci projektu je Příjemce povinen</w:t>
      </w:r>
      <w:r w:rsidR="006A795E" w:rsidRPr="00DA0C87">
        <w:rPr>
          <w:rFonts w:ascii="Calibri" w:hAnsi="Calibri"/>
          <w:sz w:val="22"/>
          <w:szCs w:val="32"/>
        </w:rPr>
        <w:t xml:space="preserve"> p</w:t>
      </w:r>
      <w:r w:rsidR="00E62EE6" w:rsidRPr="00DA0C87">
        <w:rPr>
          <w:rFonts w:ascii="Calibri" w:hAnsi="Calibri"/>
          <w:sz w:val="22"/>
          <w:szCs w:val="32"/>
        </w:rPr>
        <w:t>ředávat</w:t>
      </w:r>
      <w:r w:rsidR="006A795E" w:rsidRPr="00DA0C87">
        <w:rPr>
          <w:rFonts w:ascii="Calibri" w:hAnsi="Calibri"/>
          <w:sz w:val="22"/>
          <w:szCs w:val="32"/>
        </w:rPr>
        <w:t xml:space="preserve"> Poskytovateli dotace úplné a pravdivé informace a</w:t>
      </w:r>
      <w:r w:rsidR="001B272F" w:rsidRPr="00DA0C87">
        <w:rPr>
          <w:rFonts w:ascii="Calibri" w:hAnsi="Calibri"/>
          <w:sz w:val="22"/>
          <w:szCs w:val="32"/>
        </w:rPr>
        <w:t> </w:t>
      </w:r>
      <w:r w:rsidR="00E47DEF" w:rsidRPr="00DA0C87">
        <w:rPr>
          <w:rFonts w:ascii="Calibri" w:hAnsi="Calibri"/>
          <w:sz w:val="22"/>
          <w:szCs w:val="32"/>
        </w:rPr>
        <w:t>postupovat v souladu s</w:t>
      </w:r>
      <w:r w:rsidRPr="00DA0C87">
        <w:rPr>
          <w:rFonts w:ascii="Calibri" w:hAnsi="Calibri"/>
          <w:sz w:val="22"/>
          <w:szCs w:val="32"/>
        </w:rPr>
        <w:t xml:space="preserve"> politik</w:t>
      </w:r>
      <w:r w:rsidR="00E47DEF" w:rsidRPr="00DA0C87">
        <w:rPr>
          <w:rFonts w:ascii="Calibri" w:hAnsi="Calibri"/>
          <w:sz w:val="22"/>
          <w:szCs w:val="32"/>
        </w:rPr>
        <w:t>ami</w:t>
      </w:r>
      <w:r w:rsidRPr="00DA0C87">
        <w:rPr>
          <w:rFonts w:ascii="Calibri" w:hAnsi="Calibri"/>
          <w:sz w:val="22"/>
          <w:szCs w:val="32"/>
        </w:rPr>
        <w:t xml:space="preserve"> EU, zejména </w:t>
      </w:r>
      <w:r w:rsidR="00DB2743" w:rsidRPr="00DA0C87">
        <w:rPr>
          <w:rFonts w:ascii="Calibri" w:hAnsi="Calibri"/>
          <w:sz w:val="22"/>
          <w:szCs w:val="32"/>
        </w:rPr>
        <w:t xml:space="preserve">s </w:t>
      </w:r>
      <w:r w:rsidRPr="00DA0C87">
        <w:rPr>
          <w:rFonts w:ascii="Calibri" w:hAnsi="Calibri"/>
          <w:sz w:val="22"/>
          <w:szCs w:val="32"/>
        </w:rPr>
        <w:t>princip</w:t>
      </w:r>
      <w:r w:rsidR="00E47DEF" w:rsidRPr="00DA0C87">
        <w:rPr>
          <w:rFonts w:ascii="Calibri" w:hAnsi="Calibri"/>
          <w:sz w:val="22"/>
          <w:szCs w:val="32"/>
        </w:rPr>
        <w:t>y</w:t>
      </w:r>
      <w:r w:rsidRPr="00DA0C87">
        <w:rPr>
          <w:rFonts w:ascii="Calibri" w:hAnsi="Calibri"/>
          <w:sz w:val="22"/>
          <w:szCs w:val="32"/>
        </w:rPr>
        <w:t xml:space="preserve"> udržitelného rozvoje a prosazování rovných příležitostí, a </w:t>
      </w:r>
      <w:r w:rsidR="00E47DEF" w:rsidRPr="00DA0C87">
        <w:rPr>
          <w:rFonts w:ascii="Calibri" w:hAnsi="Calibri"/>
          <w:sz w:val="22"/>
          <w:szCs w:val="32"/>
        </w:rPr>
        <w:t xml:space="preserve">s </w:t>
      </w:r>
      <w:r w:rsidRPr="00DA0C87">
        <w:rPr>
          <w:rFonts w:ascii="Calibri" w:hAnsi="Calibri"/>
          <w:sz w:val="22"/>
          <w:szCs w:val="32"/>
        </w:rPr>
        <w:t>politik</w:t>
      </w:r>
      <w:r w:rsidR="00E47DEF" w:rsidRPr="00DA0C87">
        <w:rPr>
          <w:rFonts w:ascii="Calibri" w:hAnsi="Calibri"/>
          <w:sz w:val="22"/>
          <w:szCs w:val="32"/>
        </w:rPr>
        <w:t>ami</w:t>
      </w:r>
      <w:r w:rsidRPr="00DA0C87">
        <w:rPr>
          <w:rFonts w:ascii="Calibri" w:hAnsi="Calibri"/>
          <w:sz w:val="22"/>
          <w:szCs w:val="32"/>
        </w:rPr>
        <w:t xml:space="preserve"> MŠMT</w:t>
      </w:r>
      <w:r w:rsidR="0069158C" w:rsidRPr="00DA0C87">
        <w:rPr>
          <w:rFonts w:ascii="Calibri" w:hAnsi="Calibri"/>
          <w:sz w:val="22"/>
          <w:szCs w:val="32"/>
        </w:rPr>
        <w:t xml:space="preserve">, které jsou rozpracovány </w:t>
      </w:r>
      <w:r w:rsidR="00DB2743" w:rsidRPr="00DA0C87">
        <w:rPr>
          <w:rFonts w:ascii="Calibri" w:hAnsi="Calibri"/>
          <w:sz w:val="22"/>
          <w:szCs w:val="32"/>
        </w:rPr>
        <w:t xml:space="preserve">v </w:t>
      </w:r>
      <w:r w:rsidR="0069158C" w:rsidRPr="00DA0C87">
        <w:rPr>
          <w:rFonts w:ascii="Calibri" w:hAnsi="Calibri"/>
          <w:sz w:val="22"/>
          <w:szCs w:val="32"/>
        </w:rPr>
        <w:t xml:space="preserve">OP </w:t>
      </w:r>
      <w:r w:rsidR="004159A6" w:rsidRPr="00DA0C87">
        <w:rPr>
          <w:rFonts w:ascii="Calibri" w:hAnsi="Calibri"/>
          <w:sz w:val="22"/>
          <w:szCs w:val="32"/>
        </w:rPr>
        <w:t>JAK</w:t>
      </w:r>
      <w:r w:rsidR="0069158C" w:rsidRPr="00DA0C87">
        <w:rPr>
          <w:rFonts w:ascii="Calibri" w:hAnsi="Calibri"/>
          <w:sz w:val="22"/>
          <w:szCs w:val="32"/>
        </w:rPr>
        <w:t xml:space="preserve"> a PpŽP</w:t>
      </w:r>
      <w:r w:rsidRPr="00DA0C87">
        <w:rPr>
          <w:rFonts w:ascii="Calibri" w:hAnsi="Calibri"/>
          <w:sz w:val="22"/>
          <w:szCs w:val="32"/>
        </w:rPr>
        <w:t>.</w:t>
      </w:r>
      <w:r w:rsidR="00255F51" w:rsidRPr="00DA0C87">
        <w:rPr>
          <w:rFonts w:ascii="Calibri" w:hAnsi="Calibri"/>
          <w:sz w:val="22"/>
          <w:szCs w:val="32"/>
        </w:rPr>
        <w:t xml:space="preserve"> 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589877"/>
      <w:bookmarkStart w:id="15" w:name="_Ref456101762"/>
      <w:r w:rsidRPr="00347CB3">
        <w:t>Kontrola</w:t>
      </w:r>
      <w:bookmarkEnd w:id="14"/>
      <w:r w:rsidRPr="00347CB3">
        <w:t>/audit</w:t>
      </w:r>
      <w:bookmarkEnd w:id="15"/>
    </w:p>
    <w:p w14:paraId="4F05E1F6" w14:textId="53302516" w:rsidR="00B52BD8" w:rsidRPr="00794D28" w:rsidRDefault="0000065B" w:rsidP="00905051">
      <w:pPr>
        <w:pStyle w:val="Headline1proTP"/>
        <w:numPr>
          <w:ilvl w:val="1"/>
          <w:numId w:val="32"/>
        </w:numPr>
        <w:ind w:left="567" w:hanging="567"/>
        <w:rPr>
          <w:b w:val="0"/>
        </w:rPr>
      </w:pPr>
      <w:bookmarkStart w:id="16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PpŽP. </w:t>
      </w:r>
    </w:p>
    <w:p w14:paraId="4F05E1F7" w14:textId="33DA15AA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 xml:space="preserve">právních předpisů vytvořit podmínky k provedení kontroly, resp. auditu vztahujících se </w:t>
      </w:r>
      <w:r w:rsidRPr="000D79E5">
        <w:rPr>
          <w:b w:val="0"/>
        </w:rPr>
        <w:lastRenderedPageBreak/>
        <w:t>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DA0C87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6"/>
    </w:p>
    <w:p w14:paraId="4F05E1F8" w14:textId="41900574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1B272F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163"/>
      <w:r w:rsidRPr="00347CB3">
        <w:t>Publicita</w:t>
      </w:r>
      <w:bookmarkEnd w:id="17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8" w:name="_Ref211606165"/>
      <w:r w:rsidR="0068612D">
        <w:rPr>
          <w:spacing w:val="-4"/>
        </w:rPr>
        <w:t>pŽP</w:t>
      </w:r>
      <w:r w:rsidRPr="00347CB3">
        <w:t>.</w:t>
      </w:r>
    </w:p>
    <w:bookmarkEnd w:id="18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5803B749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75"/>
      <w:r w:rsidRPr="00347CB3">
        <w:t>Vypořádání projektu</w:t>
      </w:r>
      <w:bookmarkEnd w:id="19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7DD496C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26934349" w14:textId="217AF60F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 xml:space="preserve"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</w:t>
      </w:r>
      <w:r w:rsidRPr="0078231B">
        <w:rPr>
          <w:b w:val="0"/>
        </w:rPr>
        <w:lastRenderedPageBreak/>
        <w:t>Tuto částku je příjemce povinen zohlednit na soupisce dokladů, kde o vzniklý rozdíl sníží vyúčtování, případně provést vratku dle pokynů Poskytovatele</w:t>
      </w:r>
      <w:r w:rsidR="00DD230C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61511254"/>
      <w:bookmarkStart w:id="22" w:name="_Hlk97304745"/>
      <w:r w:rsidRPr="00347CB3">
        <w:t>Péče o majetek</w:t>
      </w:r>
      <w:bookmarkEnd w:id="21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F775853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 xml:space="preserve">o dobu realizace projektu </w:t>
      </w:r>
      <w:r w:rsidR="0029107F" w:rsidRPr="00DA0C87">
        <w:t>a udržitelnosti</w:t>
      </w:r>
      <w:r w:rsidR="0029107F" w:rsidRPr="00347CB3">
        <w:t xml:space="preserve">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5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AF3950B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>(s výjimkou přístrojů podpořených v režimu podpory de</w:t>
      </w:r>
      <w:r w:rsidR="001B272F">
        <w:rPr>
          <w:rFonts w:asciiTheme="minorHAnsi" w:hAnsiTheme="minorHAnsi" w:cstheme="minorHAnsi"/>
        </w:rPr>
        <w:t> </w:t>
      </w:r>
      <w:r w:rsidRPr="00CA3189">
        <w:rPr>
          <w:rFonts w:asciiTheme="minorHAnsi" w:hAnsiTheme="minorHAnsi" w:cstheme="minorHAnsi"/>
        </w:rPr>
        <w:t xml:space="preserve">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6"/>
      </w:r>
    </w:p>
    <w:p w14:paraId="73FB776F" w14:textId="72709E4B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2"/>
    </w:p>
    <w:p w14:paraId="23DB1A54" w14:textId="05AF89E5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="00CF7C9D">
        <w:rPr>
          <w:rFonts w:asciiTheme="minorHAnsi" w:hAnsiTheme="minorHAnsi" w:cstheme="minorHAnsi"/>
        </w:rPr>
        <w:tab/>
      </w: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A0C87">
        <w:rPr>
          <w:rFonts w:asciiTheme="minorHAnsi" w:hAnsiTheme="minorHAnsi" w:cstheme="minorHAnsi"/>
        </w:rPr>
        <w:t xml:space="preserve">, </w:t>
      </w:r>
      <w:r w:rsidR="00E11E7E" w:rsidRPr="00DA0C87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A0C87">
        <w:rPr>
          <w:rFonts w:asciiTheme="minorHAnsi" w:hAnsiTheme="minorHAnsi" w:cstheme="minorHAnsi"/>
        </w:rPr>
        <w:t>i po ukončení realizace/udržitelnosti projektu</w:t>
      </w:r>
    </w:p>
    <w:p w14:paraId="4F05E208" w14:textId="624BE839" w:rsidR="00495B2F" w:rsidRPr="00347CB3" w:rsidRDefault="00D50137" w:rsidP="00B0080F">
      <w:pPr>
        <w:pStyle w:val="Headline1proTP"/>
        <w:numPr>
          <w:ilvl w:val="0"/>
          <w:numId w:val="55"/>
        </w:numPr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31F0F8A5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26BBE3B5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DA0C87">
        <w:rPr>
          <w:b w:val="0"/>
        </w:rPr>
        <w:t>, nejde-li o výsledky činnosti ve výzkumu, vývoji a inovacích (dále jen „VaVaI“),</w:t>
      </w:r>
      <w:r w:rsidR="00540168" w:rsidRPr="00A805C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</w:t>
      </w:r>
      <w:r w:rsidR="00940E62">
        <w:rPr>
          <w:b w:val="0"/>
        </w:rPr>
        <w:t>, případně dle uplatňovaných postupů otevřené vědy</w:t>
      </w:r>
      <w:r w:rsidRPr="00BF0EDD">
        <w:rPr>
          <w:b w:val="0"/>
        </w:rPr>
        <w:t>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1B272F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1B272F">
        <w:rPr>
          <w:b w:val="0"/>
        </w:rPr>
        <w:t> </w:t>
      </w:r>
      <w:r w:rsidRPr="00BF0EDD">
        <w:rPr>
          <w:b w:val="0"/>
        </w:rPr>
        <w:t>použitím prostředků této dotace, třetí osoba odlišná od 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</w:t>
      </w:r>
      <w:r w:rsidRPr="00BF0EDD">
        <w:rPr>
          <w:b w:val="0"/>
        </w:rPr>
        <w:lastRenderedPageBreak/>
        <w:t xml:space="preserve">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Příjemce.</w:t>
      </w:r>
    </w:p>
    <w:p w14:paraId="2C5B07B4" w14:textId="111B6E80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DA0C87">
        <w:rPr>
          <w:b w:val="0"/>
        </w:rPr>
        <w:t>V</w:t>
      </w:r>
      <w:r w:rsidR="003818E9" w:rsidRPr="00DA0C87">
        <w:rPr>
          <w:b w:val="0"/>
        </w:rPr>
        <w:t> </w:t>
      </w:r>
      <w:r w:rsidRPr="00DA0C87">
        <w:rPr>
          <w:b w:val="0"/>
        </w:rPr>
        <w:t>případě</w:t>
      </w:r>
      <w:r w:rsidR="003818E9" w:rsidRPr="00DA0C87">
        <w:rPr>
          <w:b w:val="0"/>
        </w:rPr>
        <w:t xml:space="preserve"> výsledků činnosti ve VaVaI</w:t>
      </w:r>
      <w:r w:rsidR="008B577A" w:rsidRPr="00DA0C87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Pr="00DA0C87">
        <w:rPr>
          <w:b w:val="0"/>
        </w:rPr>
        <w:t xml:space="preserve">je příjemce povinen při ochraně práv a využití </w:t>
      </w:r>
      <w:r w:rsidR="008B577A" w:rsidRPr="00DA0C87">
        <w:rPr>
          <w:b w:val="0"/>
        </w:rPr>
        <w:t>postupovat v souladu s platnou legislativou</w:t>
      </w:r>
      <w:r w:rsidR="008B577A" w:rsidRPr="00DA0C87">
        <w:rPr>
          <w:b w:val="0"/>
          <w:vertAlign w:val="superscript"/>
        </w:rPr>
        <w:footnoteReference w:id="17"/>
      </w:r>
      <w:r w:rsidRPr="00DA0C87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646ACC83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1B272F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EF2ADC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DA0C87">
        <w:rPr>
          <w:rFonts w:asciiTheme="minorHAnsi" w:hAnsiTheme="minorHAnsi"/>
          <w:b w:val="0"/>
        </w:rPr>
        <w:t xml:space="preserve">nebo </w:t>
      </w:r>
      <w:r w:rsidR="00132684" w:rsidRPr="00DA0C87">
        <w:rPr>
          <w:rFonts w:asciiTheme="minorHAnsi" w:hAnsiTheme="minorHAnsi"/>
          <w:b w:val="0"/>
        </w:rPr>
        <w:t xml:space="preserve">do schválení závěrečné zprávy o </w:t>
      </w:r>
      <w:r w:rsidR="00D938E3" w:rsidRPr="00DA0C87">
        <w:rPr>
          <w:rFonts w:asciiTheme="minorHAnsi" w:hAnsiTheme="minorHAnsi"/>
          <w:b w:val="0"/>
        </w:rPr>
        <w:t>udržitelnosti</w:t>
      </w:r>
      <w:r w:rsidR="00132684" w:rsidRPr="00DA0C87">
        <w:rPr>
          <w:rFonts w:asciiTheme="minorHAnsi" w:hAnsiTheme="minorHAnsi"/>
          <w:b w:val="0"/>
        </w:rPr>
        <w:t xml:space="preserve"> projektu</w:t>
      </w:r>
      <w:r w:rsidR="00C54CD9" w:rsidRPr="00DA0C87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69AFC08A" w14:textId="4BAF82C4" w:rsidR="00F76B67" w:rsidRPr="001B102B" w:rsidRDefault="00F76B67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>Příjemce je povinen</w:t>
      </w:r>
      <w:r>
        <w:rPr>
          <w:rFonts w:asciiTheme="minorHAnsi" w:hAnsiTheme="minorHAnsi"/>
          <w:b w:val="0"/>
        </w:rPr>
        <w:t xml:space="preserve"> </w:t>
      </w:r>
      <w:r w:rsidR="00A52B4A">
        <w:rPr>
          <w:rFonts w:asciiTheme="minorHAnsi" w:hAnsiTheme="minorHAnsi"/>
          <w:b w:val="0"/>
        </w:rPr>
        <w:t>uplatňovat postupy otevřené vědy</w:t>
      </w:r>
      <w:r w:rsidR="0002270B">
        <w:rPr>
          <w:rFonts w:asciiTheme="minorHAnsi" w:hAnsiTheme="minorHAnsi"/>
          <w:b w:val="0"/>
        </w:rPr>
        <w:t xml:space="preserve"> uvedené v bodě </w:t>
      </w:r>
      <w:r w:rsidR="004D17A7">
        <w:rPr>
          <w:rFonts w:asciiTheme="minorHAnsi" w:hAnsiTheme="minorHAnsi"/>
          <w:b w:val="0"/>
        </w:rPr>
        <w:t>6</w:t>
      </w:r>
      <w:r w:rsidR="0002270B">
        <w:rPr>
          <w:rFonts w:asciiTheme="minorHAnsi" w:hAnsiTheme="minorHAnsi"/>
          <w:b w:val="0"/>
        </w:rPr>
        <w:t xml:space="preserve"> Přílohy č. 1 tohoto Rozhodnutí</w:t>
      </w:r>
      <w:r w:rsidR="00A52B4A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>
        <w:rPr>
          <w:rStyle w:val="Znakapoznpodarou"/>
        </w:rPr>
        <w:footnoteReference w:id="18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689FC5B1" w14:textId="18AFD67F" w:rsidR="00396EA5" w:rsidRDefault="005B0D8F" w:rsidP="00FF2B8E">
      <w:pPr>
        <w:ind w:left="567" w:hanging="567"/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783900EE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19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F01D91">
        <w:t>i po</w:t>
      </w:r>
      <w:r w:rsidR="00BF1A49" w:rsidRPr="00F01D91">
        <w:t> </w:t>
      </w:r>
      <w:r w:rsidRPr="00F01D91">
        <w:t>dobu jeho udržitelnosti</w:t>
      </w:r>
      <w:r w:rsidRPr="00347CB3">
        <w:t>.</w:t>
      </w:r>
    </w:p>
    <w:p w14:paraId="4F05E213" w14:textId="05CBD2B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283412" w:rsidRPr="00143369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051C7F7B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283412" w:rsidRPr="00143369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283412" w:rsidRPr="00143369">
        <w:t>P</w:t>
      </w:r>
      <w:r w:rsidRPr="00143369">
        <w:t>říjemce</w:t>
      </w:r>
      <w:r w:rsidRPr="00347CB3">
        <w:t xml:space="preserve"> dosáhl.</w:t>
      </w:r>
    </w:p>
    <w:p w14:paraId="4F05E215" w14:textId="5492E4AA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1B272F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283412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3DE59E1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lastRenderedPageBreak/>
        <w:t xml:space="preserve">Povinnosti uvedené pod body a) až c) musí mít </w:t>
      </w:r>
      <w:r w:rsidR="00283412" w:rsidRPr="00143369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F01D91">
        <w:t>i udržitelnosti</w:t>
      </w:r>
      <w:r w:rsidR="00D15AD3" w:rsidRPr="00D15AD3">
        <w:t xml:space="preserve"> projektu.</w:t>
      </w:r>
    </w:p>
    <w:p w14:paraId="4F05E217" w14:textId="13FA11AD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283412" w:rsidRPr="00396EA5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0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20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2CEE233C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20 Rámce je </w:t>
      </w:r>
      <w:r w:rsidR="00D15AD3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CF9">
        <w:rPr>
          <w:rFonts w:asciiTheme="minorHAnsi" w:hAnsiTheme="minorHAnsi" w:cstheme="majorHAnsi"/>
          <w:i/>
          <w:lang w:eastAsia="cs-CZ"/>
        </w:rPr>
        <w:t>Metodikou vykazování hospodářských činností</w:t>
      </w:r>
      <w:r w:rsidR="00AE1CF9" w:rsidRPr="00AE1CF9">
        <w:rPr>
          <w:rFonts w:asciiTheme="minorHAnsi" w:hAnsiTheme="minorHAnsi" w:cstheme="majorHAnsi"/>
          <w:i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01D91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20 Rámce je vyžadováno jak od </w:t>
      </w:r>
      <w:r w:rsidR="00D15AD3" w:rsidRPr="009A22EC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FB1645">
        <w:rPr>
          <w:rFonts w:asciiTheme="minorHAnsi" w:hAnsiTheme="minorHAnsi" w:cstheme="majorHAnsi"/>
          <w:highlight w:val="lightGray"/>
          <w:lang w:eastAsia="cs-CZ"/>
        </w:rPr>
        <w:t>sebe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1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2"/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567"/>
      <w:r w:rsidRPr="00347CB3">
        <w:t>Evaluace</w:t>
      </w:r>
      <w:bookmarkEnd w:id="23"/>
    </w:p>
    <w:p w14:paraId="4F05E227" w14:textId="1E754579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3"/>
      </w:r>
      <w:r w:rsidR="008F57AB">
        <w:t xml:space="preserve"> </w:t>
      </w:r>
      <w:r w:rsidR="00495B2F" w:rsidRPr="00347CB3">
        <w:t>při</w:t>
      </w:r>
      <w:r w:rsidR="001B272F">
        <w:t> </w:t>
      </w:r>
      <w:r w:rsidR="00495B2F" w:rsidRPr="00347CB3">
        <w:t xml:space="preserve">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DA0C87">
        <w:t xml:space="preserve">, </w:t>
      </w:r>
      <w:r w:rsidR="00495B2F" w:rsidRPr="00DA0C87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058AD3D7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955CA3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4" w:name="_Ref456361678"/>
      <w:r>
        <w:t>Komunikace v MS20</w:t>
      </w:r>
      <w:r w:rsidR="00AC5322">
        <w:t>21</w:t>
      </w:r>
      <w:r>
        <w:t>+</w:t>
      </w:r>
      <w:bookmarkEnd w:id="24"/>
    </w:p>
    <w:p w14:paraId="4F05E22A" w14:textId="1F2DFD33" w:rsidR="00495B2F" w:rsidRPr="009C2CCC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AA72997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F56BFD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41433E76" w:rsidR="00140B66" w:rsidRDefault="0029724B" w:rsidP="0029724B">
      <w:pPr>
        <w:ind w:left="567" w:hanging="567"/>
      </w:pPr>
      <w:r w:rsidRPr="0029724B">
        <w:rPr>
          <w:b/>
        </w:rPr>
        <w:lastRenderedPageBreak/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BBFFF58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6F0F6F">
        <w:t>o</w:t>
      </w:r>
      <w:r w:rsidR="00140B66">
        <w:t xml:space="preserve">becného nařízení o ochraně osobních údajů </w:t>
      </w:r>
      <w:r w:rsidR="00140B66" w:rsidRPr="009038CA">
        <w:rPr>
          <w:highlight w:val="lightGray"/>
        </w:rPr>
        <w:t>s</w:t>
      </w:r>
      <w:r w:rsidR="00417433" w:rsidRPr="009038CA">
        <w:rPr>
          <w:highlight w:val="lightGray"/>
        </w:rPr>
        <w:t> </w:t>
      </w:r>
      <w:r w:rsidR="00140B66" w:rsidRPr="009038CA">
        <w:rPr>
          <w:highlight w:val="lightGray"/>
        </w:rPr>
        <w:t>partnerem nebo</w:t>
      </w:r>
      <w:r w:rsidR="00140B66" w:rsidRPr="009038CA">
        <w:t xml:space="preserve"> s</w:t>
      </w:r>
      <w:r w:rsidR="00140B66">
        <w:t xml:space="preserve"> dodavatelem, pokud taková osoba má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dodavateli.</w:t>
      </w:r>
      <w:r w:rsidR="00140B66">
        <w:t xml:space="preserve"> Tyto smlouvy musí upravovat podmínky zpracování osobních údajů obdobně jako podmínky stanovené v tomto Pověření Příjemce v této části tohoto Rozhodnutí.</w:t>
      </w:r>
      <w:r w:rsidR="009657DC">
        <w:rPr>
          <w:rStyle w:val="Znakapoznpodarou"/>
          <w:rFonts w:eastAsia="Calibri"/>
        </w:rPr>
        <w:footnoteReference w:id="24"/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25"/>
      </w:r>
    </w:p>
    <w:p w14:paraId="4F05E231" w14:textId="02072118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1B272F"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26"/>
      </w:r>
    </w:p>
    <w:p w14:paraId="4DA91D76" w14:textId="354605D1" w:rsidR="00F3124E" w:rsidRDefault="00F3124E" w:rsidP="0067005D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Pr="007F7C81">
        <w:rPr>
          <w:rFonts w:eastAsia="Calibri"/>
          <w:b w:val="0"/>
          <w:highlight w:val="lightGray"/>
        </w:rPr>
        <w:t>ani</w:t>
      </w:r>
      <w:r w:rsidR="001B65E7" w:rsidRPr="009D444A">
        <w:rPr>
          <w:rFonts w:eastAsia="Calibri"/>
          <w:b w:val="0"/>
          <w:highlight w:val="lightGray"/>
        </w:rPr>
        <w:t xml:space="preserve"> vlastníkem partnera s finančním příspěvkem</w:t>
      </w:r>
      <w:r w:rsidR="009D444A">
        <w:rPr>
          <w:rStyle w:val="Znakapoznpodarou"/>
          <w:rFonts w:eastAsia="Calibri"/>
          <w:b w:val="0"/>
          <w:highlight w:val="lightGray"/>
        </w:rPr>
        <w:footnoteReference w:id="27"/>
      </w:r>
      <w:r w:rsidR="001B65E7"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 xml:space="preserve">ani vlastníkem subjektu, jemuž byly příjemcem </w:t>
      </w:r>
      <w:r w:rsidR="007D3977" w:rsidRPr="00146E87">
        <w:rPr>
          <w:rFonts w:eastAsia="Calibri"/>
          <w:b w:val="0"/>
          <w:highlight w:val="lightGray"/>
        </w:rPr>
        <w:t>nebo partnerem s finančním příspěvkem</w:t>
      </w:r>
      <w:r w:rsidR="007D3977" w:rsidRPr="00146E87">
        <w:rPr>
          <w:rFonts w:eastAsia="Calibri"/>
          <w:b w:val="0"/>
        </w:rPr>
        <w:t xml:space="preserve">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28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>, 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 xml:space="preserve">Touto povinností je příjemce vázán po celou dobu realizace projektu </w:t>
      </w:r>
      <w:r w:rsidRPr="00DA0C87">
        <w:rPr>
          <w:rFonts w:eastAsia="Calibri"/>
          <w:b w:val="0"/>
        </w:rPr>
        <w:t>a po dobu jeho udržitelnosti</w:t>
      </w:r>
      <w:r w:rsidRPr="009D444A">
        <w:rPr>
          <w:rFonts w:eastAsia="Calibri"/>
          <w:b w:val="0"/>
        </w:rPr>
        <w:t>.</w:t>
      </w:r>
    </w:p>
    <w:p w14:paraId="60409058" w14:textId="76D91A68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>, která by</w:t>
      </w:r>
      <w:r w:rsidR="001B272F">
        <w:rPr>
          <w:rFonts w:eastAsia="Calibri"/>
          <w:b w:val="0"/>
        </w:rPr>
        <w:t> </w:t>
      </w:r>
      <w:r>
        <w:rPr>
          <w:rFonts w:eastAsia="Calibri"/>
          <w:b w:val="0"/>
        </w:rPr>
        <w:t>vedla k porušení bodu 24.1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4C5E21CB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lastRenderedPageBreak/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08A3F5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7322BAFF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D5241" w:rsidRPr="007D2F40">
        <w:t>.</w:t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3B29D731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5D5241">
        <w:t xml:space="preserve">18.5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63047001" w:rsidR="007E09CC" w:rsidRPr="00BD4799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5" w:name="_Hlk103328195"/>
      <w:r w:rsidR="00160016" w:rsidRPr="00B348B1">
        <w:rPr>
          <w:rStyle w:val="Znakapoznpodarou"/>
          <w:spacing w:val="-4"/>
          <w:highlight w:val="lightGray"/>
        </w:rPr>
        <w:footnoteReference w:id="29"/>
      </w:r>
      <w:bookmarkEnd w:id="25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77B07AC7" w14:textId="319A2EC0" w:rsidR="005C37AA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C5535E">
        <w:t>V případě, že dojde k porušení povinností stanovených v části II, bod</w:t>
      </w:r>
      <w:r w:rsidR="0095163C">
        <w:t>ě</w:t>
      </w:r>
      <w:r w:rsidRPr="00C5535E">
        <w:t xml:space="preserve"> </w:t>
      </w:r>
      <w:r w:rsidR="00C74AEA" w:rsidRPr="00C5535E">
        <w:t>24</w:t>
      </w:r>
      <w:r w:rsidR="005E190C" w:rsidRPr="00C5535E">
        <w:t>.2</w:t>
      </w:r>
      <w:r w:rsidR="006352CE" w:rsidRPr="00C5535E">
        <w:t xml:space="preserve"> </w:t>
      </w:r>
      <w:r w:rsidRPr="00C5535E">
        <w:t>tohoto Rozhodnutí,</w:t>
      </w:r>
      <w:r w:rsidR="00064602" w:rsidRPr="00C5535E">
        <w:t xml:space="preserve"> je </w:t>
      </w:r>
      <w:r w:rsidRPr="00C5535E">
        <w:t>odvod za porušení rozpočtové kázně v souladu s</w:t>
      </w:r>
      <w:r w:rsidR="00BD383E" w:rsidRPr="00C5535E">
        <w:t xml:space="preserve"> ustanovením </w:t>
      </w:r>
      <w:r w:rsidRPr="00C5535E">
        <w:t>§ 44a odst. 4 písm. a) a</w:t>
      </w:r>
      <w:r w:rsidR="00290F53" w:rsidRPr="00C5535E">
        <w:t> </w:t>
      </w:r>
      <w:r w:rsidRPr="00C5535E">
        <w:t>v souladu s</w:t>
      </w:r>
      <w:r w:rsidR="00BD383E" w:rsidRPr="00C5535E">
        <w:t xml:space="preserve"> ustanovením </w:t>
      </w:r>
      <w:r w:rsidRPr="00C5535E">
        <w:t xml:space="preserve">§ 14 odst. </w:t>
      </w:r>
      <w:r w:rsidR="009B5CA4" w:rsidRPr="00C5535E">
        <w:t>5</w:t>
      </w:r>
      <w:r w:rsidRPr="00C5535E">
        <w:t xml:space="preserve"> rozpočtových pravidel stanoven ve výši</w:t>
      </w:r>
      <w:r w:rsidR="0050440E" w:rsidRPr="00C5535E">
        <w:t xml:space="preserve"> </w:t>
      </w:r>
      <w:r w:rsidR="0050440E" w:rsidRPr="00B348B1">
        <w:rPr>
          <w:highlight w:val="lightGray"/>
        </w:rPr>
        <w:t>0,1 %</w:t>
      </w:r>
      <w:r w:rsidR="00A81AC2" w:rsidRPr="00B348B1">
        <w:rPr>
          <w:highlight w:val="lightGray"/>
        </w:rPr>
        <w:t xml:space="preserve"> </w:t>
      </w:r>
      <w:r w:rsidR="00CC4445" w:rsidRPr="00B348B1">
        <w:rPr>
          <w:highlight w:val="lightGray"/>
        </w:rPr>
        <w:t>z celkové částky dotace</w:t>
      </w:r>
      <w:r w:rsidR="00160016" w:rsidRPr="00B348B1">
        <w:rPr>
          <w:highlight w:val="lightGray"/>
        </w:rPr>
        <w:t xml:space="preserve"> /</w:t>
      </w:r>
      <w:r w:rsidR="00BD4799" w:rsidRPr="00B348B1">
        <w:rPr>
          <w:highlight w:val="lightGray"/>
        </w:rPr>
        <w:t xml:space="preserve"> </w:t>
      </w:r>
      <w:r w:rsidRPr="00B348B1">
        <w:rPr>
          <w:highlight w:val="lightGray"/>
        </w:rPr>
        <w:t>100 000 Kč</w:t>
      </w:r>
      <w:bookmarkStart w:id="26" w:name="_Hlk103328217"/>
      <w:r w:rsidR="00F948CD">
        <w:rPr>
          <w:rStyle w:val="Znakapoznpodarou"/>
          <w:highlight w:val="lightGray"/>
        </w:rPr>
        <w:footnoteReference w:id="30"/>
      </w:r>
      <w:r w:rsidRPr="00C5535E">
        <w:t>.</w:t>
      </w:r>
      <w:bookmarkEnd w:id="26"/>
    </w:p>
    <w:p w14:paraId="33480A1B" w14:textId="1D93BA48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270695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06C1333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lastRenderedPageBreak/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 xml:space="preserve"> – 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</w:t>
      </w:r>
      <w:r w:rsidR="0098632F">
        <w:t>,</w:t>
      </w:r>
      <w:r w:rsidR="006F54E0">
        <w:t xml:space="preserve"> </w:t>
      </w:r>
      <w:r w:rsidR="0046657F">
        <w:t>18.</w:t>
      </w:r>
      <w:r w:rsidR="005D5241">
        <w:t>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>
        <w:t xml:space="preserve">a </w:t>
      </w:r>
      <w:r w:rsidR="005E190C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2997626C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95163C">
        <w:t>ech</w:t>
      </w:r>
      <w:r>
        <w:t xml:space="preserve"> 8.1 – 8.4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336F1560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CF89AD0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D294FCA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1B272F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1B272F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7" w:name="_Hlk94014998"/>
    </w:p>
    <w:bookmarkEnd w:id="27"/>
    <w:p w14:paraId="3E73423F" w14:textId="6D1B0E69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270695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270695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</w:r>
            <w:r w:rsidRPr="0004369D">
              <w:rPr>
                <w:rFonts w:asciiTheme="minorHAnsi" w:hAnsiTheme="minorHAnsi"/>
              </w:rPr>
              <w:lastRenderedPageBreak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lastRenderedPageBreak/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3191D6D8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</w:t>
            </w:r>
            <w:r w:rsidR="001B272F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1B272F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44DB8149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</w:t>
            </w:r>
            <w:r w:rsidR="001B272F">
              <w:rPr>
                <w:rFonts w:asciiTheme="minorHAnsi" w:hAnsiTheme="minorHAnsi"/>
              </w:rPr>
              <w:t> </w:t>
            </w:r>
            <w:r w:rsidRPr="00EE6EF1">
              <w:rPr>
                <w:rFonts w:asciiTheme="minorHAnsi" w:hAnsiTheme="minorHAnsi"/>
              </w:rPr>
              <w:t>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16C0555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1B272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1F4BE275" w14:textId="166CB2A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</w:t>
            </w:r>
            <w:r w:rsidR="001B272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1B272F">
            <w:pPr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55EC01A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1B272F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lastRenderedPageBreak/>
              <w:t>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04DF5F9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</w:t>
            </w:r>
            <w:r w:rsidR="001B272F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elektronické a</w:t>
            </w:r>
            <w:r w:rsidR="001B272F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1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6D96966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</w:t>
            </w:r>
            <w:r w:rsidR="001B272F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8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7FFEFA0" w14:textId="4B8668EB" w:rsidR="00F358FC" w:rsidRPr="0004369D" w:rsidRDefault="00F358FC" w:rsidP="007D2F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484FC8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27A43E0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1B272F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 xml:space="preserve">podmínky, obchodní </w:t>
            </w:r>
            <w:r>
              <w:rPr>
                <w:rFonts w:asciiTheme="minorHAnsi" w:hAnsiTheme="minorHAnsi"/>
              </w:rPr>
              <w:lastRenderedPageBreak/>
              <w:t>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49A140A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>pravidla pro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00F31A2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25 %, pokud nedošlo k uveřejnění kvalifikačních požadavků nebo pravidel pro</w:t>
            </w:r>
            <w:r w:rsidR="00484FC8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</w:t>
            </w:r>
            <w:r w:rsidRPr="007F7310">
              <w:rPr>
                <w:rFonts w:asciiTheme="minorHAnsi" w:hAnsiTheme="minorHAnsi" w:cstheme="minorHAnsi"/>
              </w:rPr>
              <w:lastRenderedPageBreak/>
              <w:t xml:space="preserve">zadávacího řízení / výzvy k podání nabídek </w:t>
            </w:r>
          </w:p>
        </w:tc>
      </w:tr>
      <w:bookmarkEnd w:id="28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311B02A0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484FC8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>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6086F0C8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 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1FB9E4E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27460BA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</w:t>
            </w:r>
            <w:r w:rsidR="00484FC8">
              <w:rPr>
                <w:rFonts w:asciiTheme="minorHAnsi" w:hAnsiTheme="minorHAnsi"/>
              </w:rPr>
              <w:t> 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484FC8">
            <w:pPr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lastRenderedPageBreak/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</w:t>
            </w:r>
            <w:r w:rsidRPr="0004369D">
              <w:rPr>
                <w:rFonts w:asciiTheme="minorHAnsi" w:hAnsiTheme="minorHAnsi"/>
              </w:rPr>
              <w:lastRenderedPageBreak/>
              <w:t xml:space="preserve">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025E1AE" w14:textId="7E73CDAB" w:rsidR="00F358FC" w:rsidRPr="0004369D" w:rsidRDefault="00F358FC" w:rsidP="007D2F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2395DBE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</w:t>
            </w:r>
            <w:r w:rsidRPr="0004369D">
              <w:rPr>
                <w:rFonts w:asciiTheme="minorHAnsi" w:hAnsiTheme="minorHAnsi"/>
              </w:rPr>
              <w:lastRenderedPageBreak/>
              <w:t xml:space="preserve">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4E6CAEC4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5EA64B85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612ABDB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03DDDE5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484FC8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osobami podílejícími se na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zadávacího </w:t>
            </w:r>
            <w:r>
              <w:rPr>
                <w:rFonts w:asciiTheme="minorHAnsi" w:hAnsiTheme="minorHAnsi" w:cs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lastRenderedPageBreak/>
              <w:t>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2D705015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případě, že soud, Úřad pro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16A5B02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>, kteří se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0759135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</w:t>
            </w:r>
            <w:r w:rsidR="00484FC8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04E6BE12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484FC8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9" w:name="_Toc405814473"/>
      <w:r w:rsidR="0008595B" w:rsidRPr="001B102B">
        <w:rPr>
          <w:vertAlign w:val="superscript"/>
        </w:rPr>
        <w:footnoteReference w:id="32"/>
      </w:r>
      <w:bookmarkEnd w:id="29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3BA61235" w:rsidR="00495B2F" w:rsidRPr="00347CB3" w:rsidRDefault="00495B2F" w:rsidP="007D2F4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3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0" w:name="_Toc405814474"/>
      <w:bookmarkEnd w:id="30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DCD6C0A" w:rsidR="00A017FA" w:rsidRDefault="00A017FA" w:rsidP="00A805C2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</w:pPr>
      <w:r w:rsidRPr="009A2C9D">
        <w:t>V případě, že dojde k porušení povinnosti předložit za každý rok realizace</w:t>
      </w:r>
      <w:r w:rsidR="00CC63E8" w:rsidRPr="009A2C9D">
        <w:t>/udržitelnosti</w:t>
      </w:r>
      <w:r w:rsidRPr="009A2C9D">
        <w:t xml:space="preserve"> projektu do 31.</w:t>
      </w:r>
      <w:r w:rsidR="00CC63E8" w:rsidRPr="009A2C9D">
        <w:t xml:space="preserve"> </w:t>
      </w:r>
      <w:r w:rsidRPr="009A2C9D">
        <w:t>7. Přehled hospodářského využití podpořených kapacit stanovené v části II, bod</w:t>
      </w:r>
      <w:r w:rsidR="00E57170" w:rsidRPr="009A2C9D">
        <w:t>ě</w:t>
      </w:r>
      <w:r w:rsidRPr="009A2C9D">
        <w:t xml:space="preserve"> </w:t>
      </w:r>
      <w:r w:rsidRPr="009A2C9D">
        <w:fldChar w:fldCharType="begin"/>
      </w:r>
      <w:r w:rsidRPr="009A2C9D">
        <w:instrText xml:space="preserve"> REF _Ref211606163 \r \h  \* MERGEFORMAT </w:instrText>
      </w:r>
      <w:r w:rsidRPr="009A2C9D">
        <w:fldChar w:fldCharType="separate"/>
      </w:r>
      <w:r w:rsidR="00251ED5" w:rsidRPr="009A2C9D">
        <w:t>1</w:t>
      </w:r>
      <w:r w:rsidRPr="009A2C9D">
        <w:fldChar w:fldCharType="end"/>
      </w:r>
      <w:r w:rsidRPr="009A2C9D">
        <w:t>9</w:t>
      </w:r>
      <w:r w:rsidR="00992444" w:rsidRPr="009A2C9D">
        <w:t>.3</w:t>
      </w:r>
      <w:r w:rsidRPr="009A2C9D">
        <w:t xml:space="preserve"> tohoto Rozhodnutí, je odvod za porušení rozpočtové kázně v souladu s ustanovením §</w:t>
      </w:r>
      <w:r w:rsidR="00AC1056" w:rsidRPr="009A2C9D">
        <w:t> </w:t>
      </w:r>
      <w:r w:rsidRPr="009A2C9D">
        <w:t>44a odst.</w:t>
      </w:r>
      <w:r w:rsidR="00E670B3">
        <w:t> </w:t>
      </w:r>
      <w:r w:rsidRPr="009A2C9D">
        <w:t>4 písm. a) a v souladu s ustanovením § 14 odst. 5 rozpočtových pravidel stanoven za každý jednotlivý případ ve výši 10 000 Kč.</w:t>
      </w:r>
    </w:p>
    <w:p w14:paraId="4CFA4B81" w14:textId="0FC67E0F" w:rsidR="003B33F0" w:rsidRDefault="003B33F0" w:rsidP="003B33F0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</w:pPr>
      <w:r>
        <w:lastRenderedPageBreak/>
        <w:t xml:space="preserve">V případě, že dojde k porušení povinnosti </w:t>
      </w:r>
      <w:r w:rsidR="0024615A" w:rsidRPr="00DA0C87">
        <w:t>stanovené v části II, bodě 3.2 tohoto Rozhodnutí</w:t>
      </w:r>
      <w:r>
        <w:t xml:space="preserve"> je odvod za porušení rozpočtové kázně v souladu s ustanovením § 44a odst. 4 písm. a) a v souladu s ustanovením § 14 odst. 5 rozpočtových pravidel stanoven </w:t>
      </w:r>
      <w:r w:rsidR="0098077A">
        <w:t>ve výši 100 000 Kč</w:t>
      </w:r>
      <w:r w:rsidR="00864330">
        <w:t xml:space="preserve"> za každou neuskutečněnou osvětovou akci</w:t>
      </w:r>
      <w:r>
        <w:t>.</w:t>
      </w:r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0CC2D05E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D3014F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4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32367DC7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FF1200">
        <w:t>1</w:t>
      </w:r>
      <w:r w:rsidR="00FF1200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FF1200">
        <w:t>17. 5. 2022</w:t>
      </w:r>
      <w:r w:rsidR="00FF1200"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4FD60FE" w:rsidR="00DE697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E0429A">
      <w:pPr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0" w14:textId="2CC90700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85EACD3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5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6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C1D0" w14:textId="77777777" w:rsidR="00C70357" w:rsidRDefault="00C70357" w:rsidP="003365BA">
      <w:pPr>
        <w:spacing w:after="0"/>
      </w:pPr>
      <w:r>
        <w:separator/>
      </w:r>
    </w:p>
  </w:endnote>
  <w:endnote w:type="continuationSeparator" w:id="0">
    <w:p w14:paraId="3972C065" w14:textId="77777777" w:rsidR="00C70357" w:rsidRDefault="00C70357" w:rsidP="003365BA">
      <w:pPr>
        <w:spacing w:after="0"/>
      </w:pPr>
      <w:r>
        <w:continuationSeparator/>
      </w:r>
    </w:p>
  </w:endnote>
  <w:endnote w:type="continuationNotice" w:id="1">
    <w:p w14:paraId="2B11672C" w14:textId="77777777" w:rsidR="00C70357" w:rsidRDefault="00C703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E86F" w14:textId="77777777" w:rsidR="00C70357" w:rsidRDefault="00C70357" w:rsidP="003365BA">
      <w:pPr>
        <w:spacing w:after="0"/>
      </w:pPr>
      <w:r>
        <w:separator/>
      </w:r>
    </w:p>
  </w:footnote>
  <w:footnote w:type="continuationSeparator" w:id="0">
    <w:p w14:paraId="3F6A2463" w14:textId="77777777" w:rsidR="00C70357" w:rsidRDefault="00C70357" w:rsidP="003365BA">
      <w:pPr>
        <w:spacing w:after="0"/>
      </w:pPr>
      <w:r>
        <w:continuationSeparator/>
      </w:r>
    </w:p>
  </w:footnote>
  <w:footnote w:type="continuationNotice" w:id="1">
    <w:p w14:paraId="10A34418" w14:textId="77777777" w:rsidR="00C70357" w:rsidRDefault="00C70357">
      <w:pPr>
        <w:spacing w:after="0"/>
      </w:pPr>
    </w:p>
  </w:footnote>
  <w:footnote w:id="2">
    <w:p w14:paraId="2A9DEC86" w14:textId="719A2823" w:rsidR="00B348B1" w:rsidRDefault="00B348B1" w:rsidP="00BB3DB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4F67B49D" w:rsidR="00B348B1" w:rsidRDefault="00B348B1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776D1D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77777777" w:rsidR="00B348B1" w:rsidRPr="00C95DCF" w:rsidRDefault="00B348B1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55676F97" w:rsidR="00B348B1" w:rsidRPr="00C95DCF" w:rsidRDefault="00B348B1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VŠ – neinvestice 33062, investice 33981, OP JAK P2 ostatní příjemci – neinvestice 33063, investice 33982.</w:t>
      </w:r>
    </w:p>
  </w:footnote>
  <w:footnote w:id="6">
    <w:p w14:paraId="4F05E2F5" w14:textId="72E66F03" w:rsidR="00B348B1" w:rsidRDefault="00B348B1" w:rsidP="00D33E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7">
    <w:p w14:paraId="6884173E" w14:textId="175EEF07" w:rsidR="00011EA8" w:rsidRDefault="00011EA8" w:rsidP="007F79D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11EA8">
        <w:rPr>
          <w:highlight w:val="lightGray"/>
        </w:rPr>
        <w:t>Platí pouze pro projekty s aktivitou „Modernizace a upgrade infrastruktury, pořízení infrastruktury nezbytné pro realizaci výzkumných</w:t>
      </w:r>
      <w:r w:rsidR="007F79DA">
        <w:rPr>
          <w:highlight w:val="lightGray"/>
        </w:rPr>
        <w:t> </w:t>
      </w:r>
      <w:r w:rsidRPr="00011EA8">
        <w:rPr>
          <w:highlight w:val="lightGray"/>
        </w:rPr>
        <w:t>záměrů“.</w:t>
      </w:r>
    </w:p>
  </w:footnote>
  <w:footnote w:id="8">
    <w:p w14:paraId="59BAF806" w14:textId="0D9F4E24" w:rsidR="00121E5F" w:rsidRDefault="00121E5F" w:rsidP="00D33E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DA0C87">
        <w:rPr>
          <w:highlight w:val="lightGray"/>
        </w:rPr>
        <w:t>Odstraňte text, pokud projekt nemá partnera.</w:t>
      </w:r>
    </w:p>
  </w:footnote>
  <w:footnote w:id="9">
    <w:p w14:paraId="431AD1E4" w14:textId="6A3AE741" w:rsidR="0036437D" w:rsidRDefault="0036437D" w:rsidP="00D33E5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BD0739">
        <w:rPr>
          <w:highlight w:val="lightGray"/>
        </w:rPr>
        <w:t xml:space="preserve">Dle potřeby </w:t>
      </w:r>
      <w:r>
        <w:rPr>
          <w:highlight w:val="lightGray"/>
        </w:rPr>
        <w:t>přidejte řádky.</w:t>
      </w:r>
    </w:p>
  </w:footnote>
  <w:footnote w:id="10">
    <w:p w14:paraId="4F05E2FD" w14:textId="77777777" w:rsidR="00B348B1" w:rsidRPr="00F95158" w:rsidRDefault="00B348B1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7833C7B1" w:rsidR="00B348B1" w:rsidRPr="00CA3189" w:rsidRDefault="00B348B1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 w:rsidR="001B272F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4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5">
    <w:p w14:paraId="79C30FF4" w14:textId="77777777" w:rsidR="00B348B1" w:rsidRDefault="00B348B1" w:rsidP="006B030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6">
    <w:p w14:paraId="790C5F37" w14:textId="41F87AB1" w:rsidR="00B348B1" w:rsidRDefault="00B348B1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17">
    <w:p w14:paraId="3B435AEF" w14:textId="2F60BCC5" w:rsidR="00B348B1" w:rsidRPr="00926295" w:rsidDel="00880235" w:rsidRDefault="00B348B1" w:rsidP="000B7727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18">
    <w:p w14:paraId="4F05E306" w14:textId="77777777" w:rsidR="00B348B1" w:rsidRDefault="00B348B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19">
    <w:p w14:paraId="02B2C4A7" w14:textId="3BCE9A03" w:rsidR="00B348B1" w:rsidRDefault="00B348B1" w:rsidP="001C474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Rámec pro státní podporu výzkumu, vývoje a inovací č. 2014/C 198/01</w:t>
      </w:r>
      <w:r>
        <w:t>.</w:t>
      </w:r>
    </w:p>
  </w:footnote>
  <w:footnote w:id="20">
    <w:p w14:paraId="4F05E30C" w14:textId="2BAB847A" w:rsidR="00B348B1" w:rsidRPr="003509F2" w:rsidRDefault="00B348B1" w:rsidP="00E60C55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výzkumné organizace/výzkumné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1">
    <w:p w14:paraId="7D516A21" w14:textId="30AC4DD9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není partnerství s finančním příspěvkem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relevantní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22">
    <w:p w14:paraId="566974D7" w14:textId="3C2635D1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Odstavec odstraňte, pokud projekt nemá partnera.</w:t>
      </w:r>
    </w:p>
  </w:footnote>
  <w:footnote w:id="23">
    <w:p w14:paraId="4F05E312" w14:textId="77777777" w:rsidR="00B348B1" w:rsidRDefault="00B348B1" w:rsidP="0029724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část věty, pokud není dle Výzvy relevantní partnerství.</w:t>
      </w:r>
    </w:p>
  </w:footnote>
  <w:footnote w:id="24">
    <w:p w14:paraId="4F05E316" w14:textId="77777777" w:rsidR="00B348B1" w:rsidRDefault="00B348B1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v tomto bodu upravte, pokud není dle Výzvy relevantní partnerství.</w:t>
      </w:r>
    </w:p>
  </w:footnote>
  <w:footnote w:id="25">
    <w:p w14:paraId="4F05E317" w14:textId="5699A530" w:rsidR="00B348B1" w:rsidRDefault="00B348B1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Relevantní pro příjemce, který 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OSS nebo 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</w:t>
      </w:r>
      <w:r w:rsidR="001B272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 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znění pozdějších předpisů,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jinak tento bod odstraňte</w:t>
      </w:r>
      <w:r>
        <w:t xml:space="preserve">. </w:t>
      </w:r>
    </w:p>
  </w:footnote>
  <w:footnote w:id="26">
    <w:p w14:paraId="279D7FAD" w14:textId="55AABDA8" w:rsidR="00B348B1" w:rsidRDefault="00B348B1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B65E7">
        <w:rPr>
          <w:highlight w:val="lightGray"/>
        </w:rPr>
        <w:t xml:space="preserve">Vymažte celý bod, pokud příjemce ani partner s finančním příspěvkem nejsou obchodní společnosti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1B65E7">
        <w:rPr>
          <w:highlight w:val="lightGray"/>
        </w:rPr>
        <w:t>.)</w:t>
      </w:r>
    </w:p>
  </w:footnote>
  <w:footnote w:id="27">
    <w:p w14:paraId="73817264" w14:textId="77777777" w:rsidR="00B348B1" w:rsidRDefault="00B348B1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9D444A">
        <w:rPr>
          <w:highlight w:val="lightGray"/>
        </w:rPr>
        <w:t>Vy</w:t>
      </w:r>
      <w:r>
        <w:rPr>
          <w:highlight w:val="lightGray"/>
        </w:rPr>
        <w:t>mažte</w:t>
      </w:r>
      <w:r w:rsidRPr="009D444A">
        <w:rPr>
          <w:highlight w:val="lightGray"/>
        </w:rPr>
        <w:t xml:space="preserve">, pokud </w:t>
      </w:r>
      <w:r>
        <w:rPr>
          <w:highlight w:val="lightGray"/>
        </w:rPr>
        <w:t xml:space="preserve">v projektu není </w:t>
      </w:r>
      <w:r w:rsidRPr="009D444A">
        <w:rPr>
          <w:highlight w:val="lightGray"/>
        </w:rPr>
        <w:t>partner s finančním příspěvkem ne</w:t>
      </w:r>
      <w:r>
        <w:rPr>
          <w:highlight w:val="lightGray"/>
        </w:rPr>
        <w:t>bo pokud ne</w:t>
      </w:r>
      <w:r w:rsidRPr="009D444A">
        <w:rPr>
          <w:highlight w:val="lightGray"/>
        </w:rPr>
        <w:t>ní obchodní společností.</w:t>
      </w:r>
    </w:p>
  </w:footnote>
  <w:footnote w:id="28">
    <w:p w14:paraId="1CD9FFBC" w14:textId="2EBF3E4C" w:rsidR="00B348B1" w:rsidRDefault="00B348B1" w:rsidP="00E0429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 w:rsidR="001B272F"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9">
    <w:p w14:paraId="25CC8B35" w14:textId="72756810" w:rsidR="00B348B1" w:rsidRDefault="00B348B1" w:rsidP="00F8420D">
      <w:pPr>
        <w:pStyle w:val="Textpoznpodarou"/>
        <w:tabs>
          <w:tab w:val="clear" w:pos="227"/>
        </w:tabs>
        <w:spacing w:after="0"/>
        <w:ind w:left="0" w:firstLine="0"/>
      </w:pPr>
      <w:r w:rsidRPr="00A805C2">
        <w:rPr>
          <w:rStyle w:val="Znakapoznpodarou"/>
        </w:rPr>
        <w:footnoteRef/>
      </w:r>
      <w:r w:rsidRPr="00A805C2">
        <w:t xml:space="preserve"> </w:t>
      </w:r>
      <w:r w:rsidRPr="00B348B1">
        <w:rPr>
          <w:highlight w:val="lightGray"/>
        </w:rPr>
        <w:t>Pro projekty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0">
    <w:p w14:paraId="512F2AD2" w14:textId="7CEFD004" w:rsidR="00B348B1" w:rsidRDefault="00B348B1" w:rsidP="00F8420D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1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2">
    <w:p w14:paraId="4F05E31F" w14:textId="2159E2CC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3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4">
    <w:p w14:paraId="4F05E321" w14:textId="2CAC1065" w:rsidR="00B348B1" w:rsidRDefault="00B348B1" w:rsidP="004206CE">
      <w:pPr>
        <w:pStyle w:val="Textpoznpodarou"/>
        <w:spacing w:after="0"/>
      </w:pPr>
      <w:r w:rsidRPr="00FA4FEA">
        <w:rPr>
          <w:rStyle w:val="Znakapoznpodarou"/>
        </w:rPr>
        <w:footnoteRef/>
      </w:r>
      <w:r w:rsidRPr="00A805C2">
        <w:t xml:space="preserve"> </w:t>
      </w:r>
      <w:r w:rsidRPr="00FA4FE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5">
    <w:p w14:paraId="10459A0E" w14:textId="4D7C0022" w:rsidR="00A2568B" w:rsidRDefault="00A2568B" w:rsidP="00D63DA8">
      <w:pPr>
        <w:pStyle w:val="Textpoznpodarou"/>
        <w:spacing w:after="0"/>
      </w:pPr>
      <w:r w:rsidRPr="00FA4FEA">
        <w:rPr>
          <w:rStyle w:val="Znakapoznpodarou"/>
        </w:rPr>
        <w:footnoteRef/>
      </w:r>
      <w:r w:rsidRPr="00FA4FEA">
        <w:t xml:space="preserve"> </w:t>
      </w:r>
      <w:r w:rsidRPr="00A805C2">
        <w:rPr>
          <w:highlight w:val="lightGray"/>
        </w:rPr>
        <w:t>V případě ručního podepisování</w:t>
      </w:r>
    </w:p>
  </w:footnote>
  <w:footnote w:id="36">
    <w:p w14:paraId="17EB938B" w14:textId="43134F61" w:rsidR="00B348B1" w:rsidRDefault="00B348B1" w:rsidP="004206CE">
      <w:pPr>
        <w:pStyle w:val="Textpoznpodarou"/>
        <w:spacing w:after="0"/>
        <w:ind w:left="0" w:firstLine="0"/>
      </w:pPr>
      <w:r w:rsidRPr="00A805C2">
        <w:rPr>
          <w:rStyle w:val="Znakapoznpodarou"/>
        </w:rPr>
        <w:footnoteRef/>
      </w:r>
      <w:r w:rsidRPr="00A805C2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62B"/>
    <w:multiLevelType w:val="hybridMultilevel"/>
    <w:tmpl w:val="73E0F2E8"/>
    <w:lvl w:ilvl="0" w:tplc="8D568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2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EE6738D"/>
    <w:multiLevelType w:val="multilevel"/>
    <w:tmpl w:val="61FA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29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0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F3057"/>
    <w:multiLevelType w:val="multilevel"/>
    <w:tmpl w:val="88D24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35"/>
  </w:num>
  <w:num w:numId="2" w16cid:durableId="1151094566">
    <w:abstractNumId w:val="26"/>
  </w:num>
  <w:num w:numId="3" w16cid:durableId="261452904">
    <w:abstractNumId w:val="26"/>
  </w:num>
  <w:num w:numId="4" w16cid:durableId="708795492">
    <w:abstractNumId w:val="23"/>
  </w:num>
  <w:num w:numId="5" w16cid:durableId="1070351032">
    <w:abstractNumId w:val="26"/>
  </w:num>
  <w:num w:numId="6" w16cid:durableId="2052147311">
    <w:abstractNumId w:val="18"/>
  </w:num>
  <w:num w:numId="7" w16cid:durableId="926769162">
    <w:abstractNumId w:val="5"/>
  </w:num>
  <w:num w:numId="8" w16cid:durableId="1242257190">
    <w:abstractNumId w:val="21"/>
  </w:num>
  <w:num w:numId="9" w16cid:durableId="282544319">
    <w:abstractNumId w:val="26"/>
  </w:num>
  <w:num w:numId="10" w16cid:durableId="1435901774">
    <w:abstractNumId w:val="16"/>
  </w:num>
  <w:num w:numId="11" w16cid:durableId="775179741">
    <w:abstractNumId w:val="46"/>
  </w:num>
  <w:num w:numId="12" w16cid:durableId="1284850428">
    <w:abstractNumId w:val="28"/>
  </w:num>
  <w:num w:numId="13" w16cid:durableId="30347103">
    <w:abstractNumId w:val="27"/>
  </w:num>
  <w:num w:numId="14" w16cid:durableId="1546067896">
    <w:abstractNumId w:val="19"/>
  </w:num>
  <w:num w:numId="15" w16cid:durableId="1184632603">
    <w:abstractNumId w:val="37"/>
  </w:num>
  <w:num w:numId="16" w16cid:durableId="1372729404">
    <w:abstractNumId w:val="22"/>
  </w:num>
  <w:num w:numId="17" w16cid:durableId="1976640693">
    <w:abstractNumId w:val="41"/>
  </w:num>
  <w:num w:numId="18" w16cid:durableId="14241096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30"/>
  </w:num>
  <w:num w:numId="25" w16cid:durableId="1338581790">
    <w:abstractNumId w:val="10"/>
  </w:num>
  <w:num w:numId="26" w16cid:durableId="302587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6"/>
  </w:num>
  <w:num w:numId="28" w16cid:durableId="1705208026">
    <w:abstractNumId w:val="11"/>
  </w:num>
  <w:num w:numId="29" w16cid:durableId="111874438">
    <w:abstractNumId w:val="38"/>
  </w:num>
  <w:num w:numId="30" w16cid:durableId="317272424">
    <w:abstractNumId w:val="13"/>
  </w:num>
  <w:num w:numId="31" w16cid:durableId="1356686786">
    <w:abstractNumId w:val="0"/>
  </w:num>
  <w:num w:numId="32" w16cid:durableId="451284479">
    <w:abstractNumId w:val="43"/>
  </w:num>
  <w:num w:numId="33" w16cid:durableId="830486301">
    <w:abstractNumId w:val="32"/>
  </w:num>
  <w:num w:numId="34" w16cid:durableId="690649398">
    <w:abstractNumId w:val="36"/>
  </w:num>
  <w:num w:numId="35" w16cid:durableId="111680200">
    <w:abstractNumId w:val="9"/>
  </w:num>
  <w:num w:numId="36" w16cid:durableId="259027590">
    <w:abstractNumId w:val="25"/>
  </w:num>
  <w:num w:numId="37" w16cid:durableId="1466972327">
    <w:abstractNumId w:val="26"/>
    <w:lvlOverride w:ilvl="0">
      <w:startOverride w:val="1"/>
    </w:lvlOverride>
    <w:lvlOverride w:ilvl="1">
      <w:startOverride w:val="1"/>
    </w:lvlOverride>
  </w:num>
  <w:num w:numId="38" w16cid:durableId="1864704548">
    <w:abstractNumId w:val="2"/>
  </w:num>
  <w:num w:numId="39" w16cid:durableId="539557904">
    <w:abstractNumId w:val="29"/>
  </w:num>
  <w:num w:numId="40" w16cid:durableId="1097945873">
    <w:abstractNumId w:val="20"/>
  </w:num>
  <w:num w:numId="41" w16cid:durableId="937637883">
    <w:abstractNumId w:val="12"/>
  </w:num>
  <w:num w:numId="42" w16cid:durableId="1102795901">
    <w:abstractNumId w:val="15"/>
  </w:num>
  <w:num w:numId="43" w16cid:durableId="702440801">
    <w:abstractNumId w:val="8"/>
  </w:num>
  <w:num w:numId="44" w16cid:durableId="586772159">
    <w:abstractNumId w:val="45"/>
  </w:num>
  <w:num w:numId="45" w16cid:durableId="1424570172">
    <w:abstractNumId w:val="7"/>
  </w:num>
  <w:num w:numId="46" w16cid:durableId="1698702623">
    <w:abstractNumId w:val="40"/>
  </w:num>
  <w:num w:numId="47" w16cid:durableId="1670282421">
    <w:abstractNumId w:val="33"/>
  </w:num>
  <w:num w:numId="48" w16cid:durableId="689844475">
    <w:abstractNumId w:val="42"/>
  </w:num>
  <w:num w:numId="49" w16cid:durableId="804156987">
    <w:abstractNumId w:val="31"/>
  </w:num>
  <w:num w:numId="50" w16cid:durableId="1435633263">
    <w:abstractNumId w:val="17"/>
  </w:num>
  <w:num w:numId="51" w16cid:durableId="1956060877">
    <w:abstractNumId w:val="39"/>
  </w:num>
  <w:num w:numId="52" w16cid:durableId="1459639525">
    <w:abstractNumId w:val="1"/>
  </w:num>
  <w:num w:numId="53" w16cid:durableId="1877503071">
    <w:abstractNumId w:val="4"/>
  </w:num>
  <w:num w:numId="54" w16cid:durableId="1511792343">
    <w:abstractNumId w:val="26"/>
    <w:lvlOverride w:ilvl="0">
      <w:startOverride w:val="1"/>
    </w:lvlOverride>
    <w:lvlOverride w:ilvl="1">
      <w:startOverride w:val="1"/>
    </w:lvlOverride>
  </w:num>
  <w:num w:numId="55" w16cid:durableId="1971743884">
    <w:abstractNumId w:val="14"/>
  </w:num>
  <w:num w:numId="56" w16cid:durableId="859659183">
    <w:abstractNumId w:val="26"/>
  </w:num>
  <w:num w:numId="57" w16cid:durableId="541211707">
    <w:abstractNumId w:val="44"/>
  </w:num>
  <w:num w:numId="58" w16cid:durableId="80109024">
    <w:abstractNumId w:val="26"/>
  </w:num>
  <w:num w:numId="59" w16cid:durableId="83650585">
    <w:abstractNumId w:val="24"/>
  </w:num>
  <w:num w:numId="60" w16cid:durableId="1390612851">
    <w:abstractNumId w:val="34"/>
  </w:num>
  <w:num w:numId="61" w16cid:durableId="442264423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1EA8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70B"/>
    <w:rsid w:val="000229F4"/>
    <w:rsid w:val="00022B5B"/>
    <w:rsid w:val="0002395F"/>
    <w:rsid w:val="00024461"/>
    <w:rsid w:val="00024EB7"/>
    <w:rsid w:val="00025300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1A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342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F3F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1645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197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936"/>
    <w:rsid w:val="00115AD7"/>
    <w:rsid w:val="00115D75"/>
    <w:rsid w:val="00117792"/>
    <w:rsid w:val="0012036E"/>
    <w:rsid w:val="00120C77"/>
    <w:rsid w:val="00120CE1"/>
    <w:rsid w:val="0012116F"/>
    <w:rsid w:val="001211E5"/>
    <w:rsid w:val="00121E5F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018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CB8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2F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44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E2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19E2"/>
    <w:rsid w:val="002324B7"/>
    <w:rsid w:val="002334AE"/>
    <w:rsid w:val="0023354F"/>
    <w:rsid w:val="0023477D"/>
    <w:rsid w:val="00235906"/>
    <w:rsid w:val="00235F98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108"/>
    <w:rsid w:val="00244BCA"/>
    <w:rsid w:val="002456FB"/>
    <w:rsid w:val="00246074"/>
    <w:rsid w:val="002460E0"/>
    <w:rsid w:val="0024615A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5F51"/>
    <w:rsid w:val="00256494"/>
    <w:rsid w:val="002570B7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C56"/>
    <w:rsid w:val="00263F82"/>
    <w:rsid w:val="002646DA"/>
    <w:rsid w:val="00264AD3"/>
    <w:rsid w:val="002651AD"/>
    <w:rsid w:val="00266163"/>
    <w:rsid w:val="00266A13"/>
    <w:rsid w:val="0026770D"/>
    <w:rsid w:val="00270695"/>
    <w:rsid w:val="002720E8"/>
    <w:rsid w:val="00272191"/>
    <w:rsid w:val="00272735"/>
    <w:rsid w:val="0027292F"/>
    <w:rsid w:val="002737D0"/>
    <w:rsid w:val="00273A4D"/>
    <w:rsid w:val="00274C48"/>
    <w:rsid w:val="00275C2F"/>
    <w:rsid w:val="00276FA9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42A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2D74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C83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60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934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482"/>
    <w:rsid w:val="0035759E"/>
    <w:rsid w:val="00360135"/>
    <w:rsid w:val="00360618"/>
    <w:rsid w:val="00360842"/>
    <w:rsid w:val="0036209C"/>
    <w:rsid w:val="00362E7E"/>
    <w:rsid w:val="003630E0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5E5A"/>
    <w:rsid w:val="00386AFE"/>
    <w:rsid w:val="00386D0E"/>
    <w:rsid w:val="00386DDA"/>
    <w:rsid w:val="00387374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4869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474"/>
    <w:rsid w:val="003A4B7F"/>
    <w:rsid w:val="003A4E53"/>
    <w:rsid w:val="003A4FE7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3F0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C7C53"/>
    <w:rsid w:val="003D076A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38F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A32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71B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6BB4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7EE"/>
    <w:rsid w:val="00471C19"/>
    <w:rsid w:val="00472658"/>
    <w:rsid w:val="00472D75"/>
    <w:rsid w:val="0047318F"/>
    <w:rsid w:val="004734C1"/>
    <w:rsid w:val="00473A7C"/>
    <w:rsid w:val="00473BD8"/>
    <w:rsid w:val="00473D72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4FC8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1D1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A04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17A7"/>
    <w:rsid w:val="004D2BDA"/>
    <w:rsid w:val="004D356E"/>
    <w:rsid w:val="004D39C3"/>
    <w:rsid w:val="004D40E0"/>
    <w:rsid w:val="004D4236"/>
    <w:rsid w:val="004D47CA"/>
    <w:rsid w:val="004D50A8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1E0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3658D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5D4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3AA"/>
    <w:rsid w:val="0057473B"/>
    <w:rsid w:val="005751F1"/>
    <w:rsid w:val="0057541C"/>
    <w:rsid w:val="005759CC"/>
    <w:rsid w:val="005759FF"/>
    <w:rsid w:val="00575E60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A4C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AC3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5241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934"/>
    <w:rsid w:val="005F3A5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BF4"/>
    <w:rsid w:val="00602B5F"/>
    <w:rsid w:val="0060310A"/>
    <w:rsid w:val="00603A69"/>
    <w:rsid w:val="00604B67"/>
    <w:rsid w:val="00604D0E"/>
    <w:rsid w:val="006050E3"/>
    <w:rsid w:val="006058D8"/>
    <w:rsid w:val="00605C2E"/>
    <w:rsid w:val="00606DC1"/>
    <w:rsid w:val="006073E5"/>
    <w:rsid w:val="00607CA3"/>
    <w:rsid w:val="00610075"/>
    <w:rsid w:val="006103A0"/>
    <w:rsid w:val="00611883"/>
    <w:rsid w:val="006119A2"/>
    <w:rsid w:val="006119EF"/>
    <w:rsid w:val="006128B8"/>
    <w:rsid w:val="00612B9F"/>
    <w:rsid w:val="006131F9"/>
    <w:rsid w:val="00613293"/>
    <w:rsid w:val="006133EC"/>
    <w:rsid w:val="006135ED"/>
    <w:rsid w:val="00613A45"/>
    <w:rsid w:val="00613C99"/>
    <w:rsid w:val="00614D04"/>
    <w:rsid w:val="00615412"/>
    <w:rsid w:val="00615EFE"/>
    <w:rsid w:val="00615F07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19A2"/>
    <w:rsid w:val="006222E3"/>
    <w:rsid w:val="006224E6"/>
    <w:rsid w:val="006239AD"/>
    <w:rsid w:val="00623E0C"/>
    <w:rsid w:val="00624605"/>
    <w:rsid w:val="0062500D"/>
    <w:rsid w:val="006255B5"/>
    <w:rsid w:val="00625FEA"/>
    <w:rsid w:val="00626231"/>
    <w:rsid w:val="00626400"/>
    <w:rsid w:val="00627A73"/>
    <w:rsid w:val="00627DA9"/>
    <w:rsid w:val="0063032D"/>
    <w:rsid w:val="006304CC"/>
    <w:rsid w:val="00630B87"/>
    <w:rsid w:val="00630D6F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0993"/>
    <w:rsid w:val="00651537"/>
    <w:rsid w:val="00652307"/>
    <w:rsid w:val="006530E1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B23"/>
    <w:rsid w:val="00657EAD"/>
    <w:rsid w:val="00660118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037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74FA"/>
    <w:rsid w:val="0068795E"/>
    <w:rsid w:val="00687ED2"/>
    <w:rsid w:val="00690102"/>
    <w:rsid w:val="006907C4"/>
    <w:rsid w:val="00690F39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0A2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0F2"/>
    <w:rsid w:val="006C02B7"/>
    <w:rsid w:val="006C072E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3B2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4E0"/>
    <w:rsid w:val="006F5F1A"/>
    <w:rsid w:val="006F67F5"/>
    <w:rsid w:val="006F6EBD"/>
    <w:rsid w:val="00700000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17EAF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4BE3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6D1D"/>
    <w:rsid w:val="00777CDE"/>
    <w:rsid w:val="007803CF"/>
    <w:rsid w:val="007804C2"/>
    <w:rsid w:val="00780961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4A0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EA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B94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C58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40"/>
    <w:rsid w:val="007D34CD"/>
    <w:rsid w:val="007D3977"/>
    <w:rsid w:val="007D3D0F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9DA"/>
    <w:rsid w:val="007F7C81"/>
    <w:rsid w:val="008001A5"/>
    <w:rsid w:val="0080174C"/>
    <w:rsid w:val="00801B89"/>
    <w:rsid w:val="00801C31"/>
    <w:rsid w:val="0080214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4F9"/>
    <w:rsid w:val="00844B86"/>
    <w:rsid w:val="00846443"/>
    <w:rsid w:val="008470BB"/>
    <w:rsid w:val="0084771E"/>
    <w:rsid w:val="00850233"/>
    <w:rsid w:val="00850B4F"/>
    <w:rsid w:val="008513B4"/>
    <w:rsid w:val="00851DF2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62D"/>
    <w:rsid w:val="00863BEE"/>
    <w:rsid w:val="00863EE6"/>
    <w:rsid w:val="00864330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8C6"/>
    <w:rsid w:val="008C1CBD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5D7C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3E0E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5DB6"/>
    <w:rsid w:val="008F6241"/>
    <w:rsid w:val="008F6709"/>
    <w:rsid w:val="008F6C9D"/>
    <w:rsid w:val="008F786F"/>
    <w:rsid w:val="008F790B"/>
    <w:rsid w:val="008F7B67"/>
    <w:rsid w:val="00900E36"/>
    <w:rsid w:val="0090101E"/>
    <w:rsid w:val="00901E3D"/>
    <w:rsid w:val="00902DA1"/>
    <w:rsid w:val="00902DF7"/>
    <w:rsid w:val="0090326A"/>
    <w:rsid w:val="0090346C"/>
    <w:rsid w:val="009035F3"/>
    <w:rsid w:val="009038CA"/>
    <w:rsid w:val="009039CE"/>
    <w:rsid w:val="00903BBB"/>
    <w:rsid w:val="00904523"/>
    <w:rsid w:val="009049FD"/>
    <w:rsid w:val="00904B24"/>
    <w:rsid w:val="00904F52"/>
    <w:rsid w:val="00905051"/>
    <w:rsid w:val="0090522D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1B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0E62"/>
    <w:rsid w:val="009422FE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A3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22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48CB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7A"/>
    <w:rsid w:val="009807E7"/>
    <w:rsid w:val="00980E51"/>
    <w:rsid w:val="00980E57"/>
    <w:rsid w:val="00982396"/>
    <w:rsid w:val="00984EDE"/>
    <w:rsid w:val="00985353"/>
    <w:rsid w:val="0098632F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047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C9D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CCC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1314"/>
    <w:rsid w:val="009F18DB"/>
    <w:rsid w:val="009F20BB"/>
    <w:rsid w:val="009F2460"/>
    <w:rsid w:val="009F3B18"/>
    <w:rsid w:val="009F3D9B"/>
    <w:rsid w:val="009F52FC"/>
    <w:rsid w:val="009F5732"/>
    <w:rsid w:val="009F5A7C"/>
    <w:rsid w:val="009F629E"/>
    <w:rsid w:val="009F62BE"/>
    <w:rsid w:val="009F6440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1C31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353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2B4A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C0E"/>
    <w:rsid w:val="00A636F7"/>
    <w:rsid w:val="00A63CC0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5A19"/>
    <w:rsid w:val="00A760ED"/>
    <w:rsid w:val="00A76328"/>
    <w:rsid w:val="00A767ED"/>
    <w:rsid w:val="00A76B1A"/>
    <w:rsid w:val="00A775B1"/>
    <w:rsid w:val="00A77E53"/>
    <w:rsid w:val="00A805C2"/>
    <w:rsid w:val="00A8133B"/>
    <w:rsid w:val="00A81AC2"/>
    <w:rsid w:val="00A82302"/>
    <w:rsid w:val="00A82A13"/>
    <w:rsid w:val="00A82E38"/>
    <w:rsid w:val="00A830CF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3D9"/>
    <w:rsid w:val="00A96E22"/>
    <w:rsid w:val="00A973FB"/>
    <w:rsid w:val="00AA143A"/>
    <w:rsid w:val="00AA15B4"/>
    <w:rsid w:val="00AA1CE2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489D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37DB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C7CE2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080"/>
    <w:rsid w:val="00BE4355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04C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AFE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001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357"/>
    <w:rsid w:val="00C707D1"/>
    <w:rsid w:val="00C71A27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09D5"/>
    <w:rsid w:val="00CC194D"/>
    <w:rsid w:val="00CC1A5B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641"/>
    <w:rsid w:val="00CD17B4"/>
    <w:rsid w:val="00CD2300"/>
    <w:rsid w:val="00CD26FD"/>
    <w:rsid w:val="00CD2ADD"/>
    <w:rsid w:val="00CD2CE9"/>
    <w:rsid w:val="00CD30ED"/>
    <w:rsid w:val="00CD3491"/>
    <w:rsid w:val="00CD3F96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7C9D"/>
    <w:rsid w:val="00D00122"/>
    <w:rsid w:val="00D00DA5"/>
    <w:rsid w:val="00D01BB4"/>
    <w:rsid w:val="00D01D2D"/>
    <w:rsid w:val="00D02A46"/>
    <w:rsid w:val="00D03404"/>
    <w:rsid w:val="00D0361A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2B81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BB9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4D1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3E55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6165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5E4"/>
    <w:rsid w:val="00D977A6"/>
    <w:rsid w:val="00D978BC"/>
    <w:rsid w:val="00DA0542"/>
    <w:rsid w:val="00DA0C7C"/>
    <w:rsid w:val="00DA0C87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052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30C"/>
    <w:rsid w:val="00DD2A49"/>
    <w:rsid w:val="00DD2C90"/>
    <w:rsid w:val="00DD2F67"/>
    <w:rsid w:val="00DD3CA2"/>
    <w:rsid w:val="00DD540C"/>
    <w:rsid w:val="00DD5BB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317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26CFE"/>
    <w:rsid w:val="00E30015"/>
    <w:rsid w:val="00E304A2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4A3D"/>
    <w:rsid w:val="00E660D9"/>
    <w:rsid w:val="00E66F4B"/>
    <w:rsid w:val="00E670B3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E8"/>
    <w:rsid w:val="00EB1421"/>
    <w:rsid w:val="00EB2818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2D7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39"/>
    <w:rsid w:val="00EE354B"/>
    <w:rsid w:val="00EE35F1"/>
    <w:rsid w:val="00EE3BFC"/>
    <w:rsid w:val="00EE4370"/>
    <w:rsid w:val="00EE4553"/>
    <w:rsid w:val="00EE485C"/>
    <w:rsid w:val="00EE5C90"/>
    <w:rsid w:val="00EE6B44"/>
    <w:rsid w:val="00EE751A"/>
    <w:rsid w:val="00EE7A9A"/>
    <w:rsid w:val="00EF16C8"/>
    <w:rsid w:val="00EF1AD9"/>
    <w:rsid w:val="00EF1D40"/>
    <w:rsid w:val="00EF1D6A"/>
    <w:rsid w:val="00EF1FD9"/>
    <w:rsid w:val="00EF28F2"/>
    <w:rsid w:val="00EF2ADC"/>
    <w:rsid w:val="00EF2B2B"/>
    <w:rsid w:val="00EF3508"/>
    <w:rsid w:val="00EF35E3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1D91"/>
    <w:rsid w:val="00F0206B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274"/>
    <w:rsid w:val="00F21443"/>
    <w:rsid w:val="00F21697"/>
    <w:rsid w:val="00F218CF"/>
    <w:rsid w:val="00F219FF"/>
    <w:rsid w:val="00F21FE3"/>
    <w:rsid w:val="00F22A48"/>
    <w:rsid w:val="00F23009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6556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4C0"/>
    <w:rsid w:val="00F55731"/>
    <w:rsid w:val="00F56237"/>
    <w:rsid w:val="00F56339"/>
    <w:rsid w:val="00F5639C"/>
    <w:rsid w:val="00F56BFD"/>
    <w:rsid w:val="00F56E18"/>
    <w:rsid w:val="00F56EBA"/>
    <w:rsid w:val="00F56ECB"/>
    <w:rsid w:val="00F57021"/>
    <w:rsid w:val="00F573FE"/>
    <w:rsid w:val="00F57514"/>
    <w:rsid w:val="00F60076"/>
    <w:rsid w:val="00F6078A"/>
    <w:rsid w:val="00F621CD"/>
    <w:rsid w:val="00F62574"/>
    <w:rsid w:val="00F62B53"/>
    <w:rsid w:val="00F62E1C"/>
    <w:rsid w:val="00F62E5C"/>
    <w:rsid w:val="00F63BBB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677DF"/>
    <w:rsid w:val="00F70169"/>
    <w:rsid w:val="00F707A1"/>
    <w:rsid w:val="00F711AF"/>
    <w:rsid w:val="00F71628"/>
    <w:rsid w:val="00F729A3"/>
    <w:rsid w:val="00F72EE4"/>
    <w:rsid w:val="00F7306F"/>
    <w:rsid w:val="00F73D82"/>
    <w:rsid w:val="00F74AB9"/>
    <w:rsid w:val="00F758C2"/>
    <w:rsid w:val="00F75E9E"/>
    <w:rsid w:val="00F760F7"/>
    <w:rsid w:val="00F762A8"/>
    <w:rsid w:val="00F7667A"/>
    <w:rsid w:val="00F766FE"/>
    <w:rsid w:val="00F76A30"/>
    <w:rsid w:val="00F76B67"/>
    <w:rsid w:val="00F76CDA"/>
    <w:rsid w:val="00F77374"/>
    <w:rsid w:val="00F778E4"/>
    <w:rsid w:val="00F801E9"/>
    <w:rsid w:val="00F80E7B"/>
    <w:rsid w:val="00F82AEF"/>
    <w:rsid w:val="00F82B50"/>
    <w:rsid w:val="00F8409D"/>
    <w:rsid w:val="00F8420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1D89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02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AA5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8F8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200"/>
    <w:rsid w:val="00FF1336"/>
    <w:rsid w:val="00FF1D7A"/>
    <w:rsid w:val="00FF2007"/>
    <w:rsid w:val="00FF25E8"/>
    <w:rsid w:val="00FF2B8E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5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5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List Paragraph compact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OM-Nadpis1">
    <w:name w:val="OM - Nadpis 1"/>
    <w:basedOn w:val="Nadpis1"/>
    <w:qFormat/>
    <w:rsid w:val="00615F07"/>
    <w:pPr>
      <w:keepLines w:val="0"/>
      <w:widowControl w:val="0"/>
      <w:numPr>
        <w:numId w:val="59"/>
      </w:numPr>
      <w:adjustRightInd w:val="0"/>
      <w:spacing w:before="480" w:after="480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link w:val="OM-Nadpis2Char"/>
    <w:qFormat/>
    <w:rsid w:val="00615F07"/>
    <w:pPr>
      <w:keepNext w:val="0"/>
      <w:widowControl w:val="0"/>
      <w:numPr>
        <w:ilvl w:val="1"/>
        <w:numId w:val="59"/>
      </w:numPr>
      <w:adjustRightInd w:val="0"/>
      <w:spacing w:before="480" w:after="360"/>
      <w:jc w:val="both"/>
      <w:textAlignment w:val="baseline"/>
    </w:pPr>
    <w:rPr>
      <w:rFonts w:ascii="Arial" w:hAnsi="Arial"/>
      <w:bCs w:val="0"/>
      <w:caps/>
      <w:color w:val="173271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3">
    <w:name w:val="OM - nadpis 3"/>
    <w:basedOn w:val="Nadpis3"/>
    <w:qFormat/>
    <w:rsid w:val="00615F07"/>
    <w:pPr>
      <w:keepLines w:val="0"/>
      <w:widowControl w:val="0"/>
      <w:numPr>
        <w:ilvl w:val="2"/>
        <w:numId w:val="59"/>
      </w:numPr>
      <w:adjustRightInd w:val="0"/>
      <w:spacing w:before="480" w:after="240"/>
      <w:jc w:val="both"/>
    </w:pPr>
    <w:rPr>
      <w:rFonts w:asciiTheme="minorHAnsi" w:eastAsiaTheme="minorHAnsi" w:hAnsiTheme="minorHAnsi"/>
      <w:bCs w:val="0"/>
      <w:caps/>
      <w:color w:val="173271"/>
      <w:sz w:val="22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615F07"/>
    <w:rPr>
      <w:rFonts w:ascii="Arial" w:eastAsia="Times New Roman" w:hAnsi="Arial" w:cs="Arial"/>
      <w:b/>
      <w:bCs w:val="0"/>
      <w:caps/>
      <w:color w:val="173271"/>
      <w:sz w:val="24"/>
      <w:szCs w:val="32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8C18C6"/>
    <w:pPr>
      <w:keepLines w:val="0"/>
      <w:widowControl w:val="0"/>
      <w:numPr>
        <w:ilvl w:val="3"/>
        <w:numId w:val="59"/>
      </w:numPr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8C18C6"/>
    <w:pPr>
      <w:widowControl w:val="0"/>
      <w:numPr>
        <w:ilvl w:val="4"/>
        <w:numId w:val="59"/>
      </w:numPr>
      <w:adjustRightInd w:val="0"/>
      <w:spacing w:before="240" w:after="120"/>
      <w:jc w:val="left"/>
      <w:textAlignment w:val="baseline"/>
    </w:pPr>
    <w:rPr>
      <w:rFonts w:asciiTheme="minorHAnsi" w:eastAsiaTheme="minorHAnsi" w:hAnsiTheme="minorHAnsi" w:cs="Cambria"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5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F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f0">
    <w:name w:val="pf0"/>
    <w:basedOn w:val="Normln"/>
    <w:rsid w:val="003A4F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3A4FE7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3A4FE7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15OPMSMT0001-78-14135</_dlc_DocId>
    <_dlc_DocIdUrl xmlns="0104a4cd-1400-468e-be1b-c7aad71d7d5a">
      <Url>https://op.msmt.cz/_layouts/15/DocIdRedir.aspx?ID=15OPMSMT0001-78-14135</Url>
      <Description>15OPMSMT0001-78-14135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AE4D-1B62-4D9F-9366-BF319477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7215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Janoušek Petr</cp:lastModifiedBy>
  <cp:revision>2</cp:revision>
  <cp:lastPrinted>2018-09-07T10:50:00Z</cp:lastPrinted>
  <dcterms:created xsi:type="dcterms:W3CDTF">2022-07-14T06:55:00Z</dcterms:created>
  <dcterms:modified xsi:type="dcterms:W3CDTF">2022-07-14T06:55:00Z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8cde9e59-403b-45fe-835e-b1d3571e0b4c</vt:lpwstr>
  </property>
  <property fmtid="{D5CDD505-2E9C-101B-9397-08002B2CF9AE}" pid="4" name="Komentář">
    <vt:lpwstr>Zveřejněno na webu 28/11/2017</vt:lpwstr>
  </property>
</Properties>
</file>